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sz w:val="24"/>
          <w:lang w:val="en-US" w:eastAsia="zh-CN"/>
        </w:rPr>
      </w:pPr>
      <w:r>
        <w:rPr>
          <w:rFonts w:hint="eastAsia" w:ascii="Arial" w:hAnsi="Arial" w:cs="Arial"/>
          <w:b/>
          <w:sz w:val="24"/>
        </w:rPr>
        <w:t xml:space="preserve">3GPP TSG-RAN WG4 Meeting </w:t>
      </w:r>
      <w:r>
        <w:rPr>
          <w:rFonts w:ascii="Arial" w:hAnsi="Arial" w:cs="Arial"/>
          <w:b/>
          <w:sz w:val="24"/>
        </w:rPr>
        <w:t>#10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4</w:t>
      </w:r>
      <w:r>
        <w:rPr>
          <w:rFonts w:ascii="Arial" w:hAnsi="Arial" w:cs="Arial"/>
          <w:b/>
          <w:sz w:val="24"/>
        </w:rPr>
        <w:t>-e</w:t>
      </w:r>
      <w:r>
        <w:rPr>
          <w:rFonts w:ascii="Arial" w:hAnsi="Arial" w:eastAsia="MS Mincho"/>
          <w:b/>
          <w:sz w:val="24"/>
        </w:rPr>
        <w:tab/>
      </w:r>
      <w:r>
        <w:rPr>
          <w:rFonts w:hint="eastAsia" w:ascii="Arial" w:hAnsi="Arial"/>
          <w:b/>
          <w:sz w:val="24"/>
          <w:lang w:eastAsia="zh-CN"/>
        </w:rPr>
        <w:t>R4-2212633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  <w:r>
        <w:rPr>
          <w:rFonts w:hint="eastAsia" w:ascii="Arial" w:hAnsi="Arial" w:eastAsia="宋体" w:cs="Arial"/>
          <w:b/>
          <w:color w:val="auto"/>
          <w:sz w:val="24"/>
          <w:lang w:eastAsia="zh-CN"/>
        </w:rPr>
        <w:t xml:space="preserve">Electronic Meeting, </w:t>
      </w:r>
      <w:r>
        <w:rPr>
          <w:rFonts w:hint="eastAsia" w:ascii="Arial" w:hAnsi="Arial" w:eastAsia="宋体" w:cs="Arial"/>
          <w:b/>
          <w:color w:val="auto"/>
          <w:sz w:val="24"/>
          <w:lang w:val="en-US" w:eastAsia="zh-CN"/>
        </w:rPr>
        <w:t>August</w:t>
      </w:r>
      <w:r>
        <w:rPr>
          <w:rFonts w:hint="eastAsia" w:ascii="Arial" w:hAnsi="Arial" w:eastAsia="宋体" w:cs="Arial"/>
          <w:b/>
          <w:color w:val="auto"/>
          <w:sz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color w:val="auto"/>
          <w:sz w:val="24"/>
          <w:lang w:val="en-US" w:eastAsia="zh-CN"/>
        </w:rPr>
        <w:t>15</w:t>
      </w:r>
      <w:r>
        <w:rPr>
          <w:rFonts w:hint="eastAsia" w:ascii="Arial" w:hAnsi="Arial" w:eastAsia="宋体" w:cs="Arial"/>
          <w:b/>
          <w:color w:val="auto"/>
          <w:sz w:val="24"/>
          <w:lang w:eastAsia="zh-CN"/>
        </w:rPr>
        <w:t xml:space="preserve"> – </w:t>
      </w:r>
      <w:r>
        <w:rPr>
          <w:rFonts w:hint="eastAsia" w:ascii="Arial" w:hAnsi="Arial" w:eastAsia="宋体" w:cs="Arial"/>
          <w:b/>
          <w:color w:val="auto"/>
          <w:sz w:val="24"/>
          <w:lang w:val="en-US" w:eastAsia="zh-CN"/>
        </w:rPr>
        <w:t>August</w:t>
      </w:r>
      <w:r>
        <w:rPr>
          <w:rFonts w:hint="eastAsia" w:ascii="Arial" w:hAnsi="Arial" w:eastAsia="宋体" w:cs="Arial"/>
          <w:b/>
          <w:color w:val="auto"/>
          <w:sz w:val="24"/>
          <w:lang w:eastAsia="zh-CN"/>
        </w:rPr>
        <w:t xml:space="preserve"> 2</w:t>
      </w:r>
      <w:r>
        <w:rPr>
          <w:rFonts w:hint="eastAsia" w:ascii="Arial" w:hAnsi="Arial" w:eastAsia="宋体" w:cs="Arial"/>
          <w:b/>
          <w:color w:val="auto"/>
          <w:sz w:val="24"/>
          <w:lang w:val="en-US" w:eastAsia="zh-CN"/>
        </w:rPr>
        <w:t>6</w:t>
      </w:r>
      <w:r>
        <w:rPr>
          <w:rFonts w:hint="eastAsia" w:ascii="Arial" w:hAnsi="Arial" w:eastAsia="宋体" w:cs="Arial"/>
          <w:b/>
          <w:color w:val="auto"/>
          <w:sz w:val="24"/>
          <w:lang w:eastAsia="zh-CN"/>
        </w:rPr>
        <w:t>, 2022</w:t>
      </w:r>
    </w:p>
    <w:p>
      <w:pPr>
        <w:pStyle w:val="16"/>
        <w:keepNext/>
        <w:keepLines/>
        <w:widowControl w:val="0"/>
        <w:tabs>
          <w:tab w:val="left" w:pos="2165"/>
          <w:tab w:val="clear" w:pos="4536"/>
          <w:tab w:val="clear" w:pos="9072"/>
        </w:tabs>
        <w:spacing w:before="180" w:after="120" w:line="240" w:lineRule="auto"/>
        <w:ind w:left="2127" w:hanging="2127"/>
        <w:jc w:val="both"/>
        <w:rPr>
          <w:rFonts w:eastAsia="宋体" w:cs="Arial"/>
          <w:b w:val="0"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>Source</w:t>
      </w:r>
      <w:r>
        <w:rPr>
          <w:rFonts w:eastAsia="宋体" w:cs="Arial"/>
          <w:szCs w:val="20"/>
          <w:lang w:val="en-US" w:eastAsia="zh-CN"/>
        </w:rPr>
        <w:t>:</w:t>
      </w:r>
      <w:r>
        <w:rPr>
          <w:rFonts w:eastAsia="宋体" w:cs="Arial"/>
          <w:szCs w:val="20"/>
          <w:lang w:val="en-US" w:eastAsia="zh-CN"/>
        </w:rPr>
        <w:tab/>
      </w:r>
      <w:r>
        <w:rPr>
          <w:rFonts w:eastAsia="宋体" w:cs="Arial"/>
          <w:b w:val="0"/>
          <w:szCs w:val="20"/>
          <w:lang w:val="en-US" w:eastAsia="zh-CN"/>
        </w:rPr>
        <w:t>ZTE Corporation</w:t>
      </w:r>
    </w:p>
    <w:p>
      <w:pPr>
        <w:pStyle w:val="16"/>
        <w:keepNext/>
        <w:keepLines/>
        <w:widowControl w:val="0"/>
        <w:spacing w:before="180" w:after="120" w:line="240" w:lineRule="auto"/>
        <w:ind w:left="2127" w:hanging="2127"/>
        <w:jc w:val="both"/>
        <w:rPr>
          <w:rFonts w:eastAsia="宋体" w:cs="Arial"/>
          <w:b w:val="0"/>
          <w:bCs/>
          <w:szCs w:val="20"/>
          <w:lang w:val="en-US" w:eastAsia="zh-CN"/>
        </w:rPr>
      </w:pPr>
      <w:r>
        <w:rPr>
          <w:rFonts w:cs="Arial"/>
          <w:szCs w:val="20"/>
          <w:lang w:val="en-US" w:eastAsia="zh-CN"/>
        </w:rPr>
        <w:t>Title:</w:t>
      </w:r>
      <w:r>
        <w:rPr>
          <w:rFonts w:cs="Arial"/>
          <w:szCs w:val="20"/>
          <w:lang w:val="en-US" w:eastAsia="zh-CN"/>
        </w:rPr>
        <w:tab/>
      </w:r>
      <w:r>
        <w:rPr>
          <w:rFonts w:hint="eastAsia"/>
          <w:b w:val="0"/>
          <w:bCs/>
          <w:szCs w:val="20"/>
          <w:lang w:val="en-US" w:eastAsia="zh-CN"/>
        </w:rPr>
        <w:t>Discussion on conformance test of IAB</w:t>
      </w:r>
    </w:p>
    <w:p>
      <w:pPr>
        <w:pStyle w:val="16"/>
        <w:keepNext/>
        <w:keepLines/>
        <w:widowControl w:val="0"/>
        <w:tabs>
          <w:tab w:val="left" w:pos="2155"/>
          <w:tab w:val="clear" w:pos="4536"/>
          <w:tab w:val="clear" w:pos="9072"/>
        </w:tabs>
        <w:spacing w:before="180" w:after="120" w:line="240" w:lineRule="auto"/>
        <w:ind w:left="2610" w:hanging="2610"/>
        <w:jc w:val="both"/>
        <w:rPr>
          <w:rFonts w:hint="default" w:cs="Arial"/>
          <w:b w:val="0"/>
          <w:bCs/>
          <w:szCs w:val="20"/>
          <w:lang w:val="en-US" w:eastAsia="zh-CN"/>
        </w:rPr>
      </w:pPr>
      <w:r>
        <w:rPr>
          <w:rFonts w:cs="Arial"/>
          <w:szCs w:val="20"/>
          <w:lang w:eastAsia="zh-CN"/>
        </w:rPr>
        <w:t>Agenda Item:</w:t>
      </w:r>
      <w:r>
        <w:rPr>
          <w:rFonts w:cs="Arial"/>
          <w:szCs w:val="20"/>
          <w:lang w:eastAsia="zh-CN"/>
        </w:rPr>
        <w:tab/>
      </w:r>
      <w:r>
        <w:rPr>
          <w:rFonts w:hint="eastAsia" w:cs="Arial"/>
          <w:b w:val="0"/>
          <w:bCs/>
          <w:color w:val="auto"/>
          <w:szCs w:val="20"/>
          <w:lang w:val="en-US" w:eastAsia="zh-CN"/>
        </w:rPr>
        <w:t>9.15.2.1</w:t>
      </w:r>
      <w:bookmarkStart w:id="0" w:name="_GoBack"/>
      <w:bookmarkEnd w:id="0"/>
    </w:p>
    <w:p>
      <w:pPr>
        <w:pStyle w:val="16"/>
        <w:keepNext/>
        <w:keepLines/>
        <w:widowControl w:val="0"/>
        <w:tabs>
          <w:tab w:val="left" w:pos="2160"/>
          <w:tab w:val="clear" w:pos="4536"/>
          <w:tab w:val="clear" w:pos="9072"/>
        </w:tabs>
        <w:spacing w:before="180" w:after="120" w:line="240" w:lineRule="auto"/>
        <w:ind w:left="2610" w:hanging="2610"/>
        <w:jc w:val="both"/>
        <w:rPr>
          <w:rFonts w:eastAsia="宋体" w:cs="Arial"/>
          <w:szCs w:val="20"/>
          <w:lang w:eastAsia="zh-CN"/>
        </w:rPr>
      </w:pPr>
      <w:r>
        <w:rPr>
          <w:rFonts w:cs="Arial"/>
          <w:szCs w:val="20"/>
          <w:lang w:eastAsia="zh-CN"/>
        </w:rPr>
        <w:t>Document for:</w:t>
      </w:r>
      <w:r>
        <w:rPr>
          <w:rFonts w:cs="Arial"/>
          <w:szCs w:val="20"/>
          <w:lang w:eastAsia="zh-CN"/>
        </w:rPr>
        <w:tab/>
      </w:r>
      <w:r>
        <w:rPr>
          <w:rFonts w:eastAsia="宋体" w:cs="Arial"/>
          <w:b w:val="0"/>
          <w:szCs w:val="20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10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In this contribution, we discuss the conformance test issues for simultaneous operation between child link and parent link.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Discussion</w:t>
      </w:r>
    </w:p>
    <w:p>
      <w:pPr>
        <w:pStyle w:val="31"/>
        <w:ind w:firstLine="0" w:firstLineChars="0"/>
        <w:rPr>
          <w:rFonts w:hint="default" w:ascii="Times New Roman" w:hAnsi="Times New Roman"/>
          <w:bCs/>
          <w:kern w:val="0"/>
          <w:sz w:val="20"/>
          <w:szCs w:val="20"/>
          <w:lang w:val="en-US"/>
        </w:rPr>
      </w:pP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In RAN4#103-e meeting, the timing error between IMT-MT and IMT-DU within an IAB node was discussed</w:t>
      </w:r>
      <w:r>
        <w:rPr>
          <w:rFonts w:hint="eastAsia" w:ascii="Times New Roman" w:hAnsi="Times New Roman"/>
          <w:bCs/>
          <w:kern w:val="0"/>
          <w:sz w:val="20"/>
          <w:szCs w:val="20"/>
          <w:vertAlign w:val="superscript"/>
          <w:lang w:val="en-US" w:eastAsia="zh-CN"/>
        </w:rPr>
        <w:t>[1]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.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ind w:firstLine="100" w:firstLineChars="50"/>
              <w:rPr>
                <w:b/>
              </w:rPr>
            </w:pPr>
            <w:r>
              <w:rPr>
                <w:b/>
              </w:rPr>
              <w:t xml:space="preserve">For case6 OTA timing error: </w:t>
            </w:r>
            <w:r>
              <w:rPr>
                <w:iCs/>
              </w:rPr>
              <w:t>Below option as starting point to further discuss the relevant test procedure, test set-up and MU</w:t>
            </w:r>
          </w:p>
          <w:p>
            <w:pPr>
              <w:pStyle w:val="31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textAlignment w:val="baseline"/>
              <w:rPr>
                <w:rFonts w:asciiTheme="minorHAnsi" w:hAnsiTheme="minorHAnsi" w:eastAsiaTheme="minorEastAsia" w:cstheme="minorBidi"/>
                <w:iCs/>
                <w:kern w:val="2"/>
                <w:sz w:val="21"/>
                <w:szCs w:val="22"/>
              </w:rPr>
            </w:pPr>
            <w:r>
              <w:rPr>
                <w:rFonts w:asciiTheme="minorHAnsi" w:hAnsiTheme="minorHAnsi" w:eastAsiaTheme="minorEastAsia" w:cstheme="minorBidi"/>
                <w:iCs/>
                <w:kern w:val="2"/>
                <w:sz w:val="21"/>
                <w:szCs w:val="22"/>
              </w:rPr>
              <w:t xml:space="preserve">Measure the time error of IAB-DU and IAB-MT </w:t>
            </w:r>
            <w:r>
              <w:rPr>
                <w:rFonts w:asciiTheme="minorHAnsi" w:hAnsiTheme="minorHAnsi" w:eastAsiaTheme="minorEastAsia" w:cstheme="minorBidi"/>
                <w:iCs/>
                <w:kern w:val="2"/>
                <w:sz w:val="21"/>
                <w:szCs w:val="22"/>
                <w:highlight w:val="none"/>
              </w:rPr>
              <w:t xml:space="preserve">separately </w:t>
            </w:r>
            <w:r>
              <w:rPr>
                <w:rFonts w:asciiTheme="minorHAnsi" w:hAnsiTheme="minorHAnsi" w:eastAsiaTheme="minorEastAsia" w:cstheme="minorBidi"/>
                <w:iCs/>
                <w:kern w:val="2"/>
                <w:sz w:val="21"/>
                <w:szCs w:val="22"/>
              </w:rPr>
              <w:t>and deduce the timing error by two measurement results</w:t>
            </w:r>
          </w:p>
          <w:p>
            <w:pPr>
              <w:pStyle w:val="31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 w:line="259" w:lineRule="auto"/>
              <w:ind w:firstLineChars="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asciiTheme="minorHAnsi" w:hAnsiTheme="minorHAnsi" w:eastAsiaTheme="minorEastAsia" w:cstheme="minorBidi"/>
                <w:iCs/>
                <w:kern w:val="2"/>
                <w:sz w:val="21"/>
                <w:szCs w:val="22"/>
              </w:rPr>
              <w:t>Note can be added into the conformance specification to clarify other test methods not precluded if feasible.</w:t>
            </w:r>
          </w:p>
        </w:tc>
      </w:tr>
    </w:tbl>
    <w:p>
      <w:pPr>
        <w:pStyle w:val="31"/>
        <w:ind w:firstLine="0" w:firstLineChars="0"/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The WF above states that the timing of IAB-MT and IAB-DU can be tested separately. While the tested signals need to be clarified.</w:t>
      </w:r>
    </w:p>
    <w:p>
      <w:pPr>
        <w:pStyle w:val="31"/>
        <w:ind w:firstLine="0" w:firstLineChars="0"/>
        <w:rPr>
          <w:rFonts w:hint="default" w:ascii="Times New Roman" w:hAnsi="Times New Roman"/>
          <w:bCs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The DMRS of PUSCH of an IAB-MT and the DMRS of PDSCH of an IAB-DU can be considered for TAE measurement. The position of DMRS for PUSCH and PDSCH can be further discussed.</w:t>
      </w:r>
    </w:p>
    <w:p>
      <w:pPr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sz w:val="20"/>
          <w:szCs w:val="20"/>
        </w:rPr>
        <w:t>Proposal 1:</w:t>
      </w:r>
      <w:r>
        <w:rPr>
          <w:rFonts w:hint="eastAsia" w:eastAsia="宋体"/>
          <w:b/>
          <w:sz w:val="20"/>
          <w:szCs w:val="20"/>
          <w:lang w:val="en-US" w:eastAsia="zh-CN"/>
        </w:rPr>
        <w:t xml:space="preserve"> To consider DMRS of PUSCH of an IAB-MT and the DMRS of PDSCH of an IAB-DU within an IAB node as the tested signals for TAE tests.</w:t>
      </w:r>
    </w:p>
    <w:p>
      <w:pPr>
        <w:pStyle w:val="31"/>
        <w:ind w:firstLine="0" w:firstLineChars="0"/>
        <w:rPr>
          <w:rFonts w:hint="default" w:ascii="Times New Roman" w:hAnsi="Times New Roman"/>
          <w:bCs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With regard to test models, the following tentative agreement was reached in 103-e meeting.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Tentative agreements:</w:t>
            </w:r>
            <w:r>
              <w:t xml:space="preserve"> Existing TM including TDD pattern of IAB-DU can be reused for IAB simultaneous operation</w:t>
            </w:r>
          </w:p>
        </w:tc>
      </w:tr>
    </w:tbl>
    <w:p>
      <w:pPr>
        <w:pStyle w:val="31"/>
        <w:ind w:firstLine="0" w:firstLineChars="0"/>
        <w:rPr>
          <w:rFonts w:hint="default" w:ascii="Times New Roman" w:hAnsi="Times New Roman"/>
          <w:bCs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The following agreements were reached in RAN1#95 and RAN#104-e meeting</w:t>
      </w:r>
      <w:r>
        <w:rPr>
          <w:rFonts w:hint="eastAsia" w:ascii="Times New Roman" w:hAnsi="Times New Roman"/>
          <w:bCs/>
          <w:kern w:val="0"/>
          <w:sz w:val="20"/>
          <w:szCs w:val="20"/>
          <w:vertAlign w:val="superscript"/>
          <w:lang w:val="en-US" w:eastAsia="zh-CN"/>
        </w:rPr>
        <w:t>[2][3]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. 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outlineLvl w:val="0"/>
              <w:rPr>
                <w:rFonts w:hint="default" w:eastAsia="宋体"/>
                <w:b/>
                <w:szCs w:val="20"/>
                <w:highlight w:val="green"/>
                <w:lang w:val="en-US" w:eastAsia="zh-CN"/>
              </w:rPr>
            </w:pPr>
            <w:r>
              <w:rPr>
                <w:b/>
                <w:szCs w:val="20"/>
                <w:highlight w:val="green"/>
              </w:rPr>
              <w:t>Agreements:</w:t>
            </w:r>
            <w:r>
              <w:rPr>
                <w:rFonts w:hint="eastAsia" w:eastAsia="宋体"/>
                <w:b/>
                <w:szCs w:val="20"/>
                <w:highlight w:val="none"/>
                <w:lang w:val="en-US" w:eastAsia="zh-CN"/>
              </w:rPr>
              <w:t>[#95]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Calibri" w:hAnsi="Calibri" w:eastAsia="Calibri"/>
                <w:szCs w:val="20"/>
              </w:rPr>
            </w:pPr>
            <w:r>
              <w:rPr>
                <w:rFonts w:ascii="Calibri" w:hAnsi="Calibri" w:eastAsia="Calibri"/>
                <w:szCs w:val="20"/>
              </w:rPr>
              <w:t>Capture the following conclusions for the IAB SI TR: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Calibri" w:hAnsi="Calibri" w:eastAsia="Calibri"/>
                <w:szCs w:val="20"/>
              </w:rPr>
            </w:pPr>
            <w:r>
              <w:rPr>
                <w:rFonts w:ascii="Calibri" w:hAnsi="Calibri" w:eastAsia="Calibri"/>
                <w:szCs w:val="20"/>
              </w:rPr>
              <w:t>RAN1 has studied various physical layer aspects for Integrated Access and Backhaul, and from a RAN1 perspective, support for the following features and solutions has been determined to be beneficial and feasible:</w:t>
            </w:r>
          </w:p>
          <w:p>
            <w:pPr>
              <w:pStyle w:val="57"/>
              <w:numPr>
                <w:ilvl w:val="0"/>
                <w:numId w:val="5"/>
              </w:numPr>
              <w:spacing w:after="0" w:line="240" w:lineRule="auto"/>
              <w:ind w:firstLineChars="0"/>
              <w:jc w:val="left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Mechanisms for supporting both in-band and out-of-band relaying by multiplexing access and backhaul links in time (TDM), frequency (FDM), or space (SDM) under a per-link half-duplex constraint at the IAB node and across multiple backhaul hops, including:</w:t>
            </w:r>
          </w:p>
          <w:p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Calibri" w:hAnsi="Calibri" w:eastAsia="Calibri"/>
                <w:szCs w:val="20"/>
              </w:rPr>
            </w:pPr>
            <w:r>
              <w:rPr>
                <w:rFonts w:ascii="Calibri" w:hAnsi="Calibri" w:eastAsia="Calibri"/>
                <w:szCs w:val="20"/>
              </w:rPr>
              <w:t xml:space="preserve">Semi-static configuration for IAB node DU resources </w:t>
            </w:r>
          </w:p>
          <w:p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Calibri" w:hAnsi="Calibri" w:eastAsia="Calibri"/>
                <w:szCs w:val="20"/>
              </w:rPr>
            </w:pPr>
            <w:r>
              <w:rPr>
                <w:rFonts w:ascii="Calibri" w:hAnsi="Calibri" w:eastAsia="Calibri"/>
                <w:szCs w:val="20"/>
              </w:rPr>
              <w:t>Dynamic indication to an IAB node of the availability of soft resources for an IAB node DU</w:t>
            </w:r>
          </w:p>
          <w:p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ascii="Calibri" w:hAnsi="Calibri" w:eastAsia="Calibri"/>
                <w:szCs w:val="20"/>
              </w:rPr>
              <w:t xml:space="preserve">Power control/coordination for FDM/SDM of access and backhaul links </w:t>
            </w:r>
          </w:p>
          <w:p>
            <w:pPr>
              <w:ind w:left="1260" w:hanging="1260"/>
              <w:contextualSpacing/>
              <w:jc w:val="both"/>
              <w:rPr>
                <w:rFonts w:cs="Times"/>
                <w:b/>
                <w:szCs w:val="20"/>
                <w:highlight w:val="green"/>
              </w:rPr>
            </w:pPr>
            <w:r>
              <w:rPr>
                <w:rFonts w:cs="Times"/>
                <w:b/>
                <w:szCs w:val="20"/>
                <w:highlight w:val="green"/>
              </w:rPr>
              <w:t>Agreement</w:t>
            </w:r>
            <w:r>
              <w:rPr>
                <w:rFonts w:hint="eastAsia" w:eastAsia="宋体"/>
                <w:b/>
                <w:szCs w:val="20"/>
                <w:highlight w:val="none"/>
                <w:lang w:val="en-US" w:eastAsia="zh-CN"/>
              </w:rPr>
              <w:t>[#104-e]</w:t>
            </w:r>
          </w:p>
          <w:p>
            <w:pPr>
              <w:contextualSpacing/>
              <w:jc w:val="both"/>
              <w:rPr>
                <w:rFonts w:cs="Times"/>
                <w:bCs/>
                <w:szCs w:val="20"/>
              </w:rPr>
            </w:pPr>
            <w:r>
              <w:rPr>
                <w:rFonts w:cs="Times"/>
                <w:bCs/>
                <w:szCs w:val="20"/>
              </w:rPr>
              <w:t>For frequency domain multiplexing, H/S/NA configurations for an IAB-node are provided separately in addition to the Rel-16 H/S/NA</w:t>
            </w:r>
          </w:p>
          <w:p>
            <w:pPr>
              <w:rPr>
                <w:rFonts w:cs="Times"/>
                <w:szCs w:val="20"/>
              </w:rPr>
            </w:pPr>
          </w:p>
          <w:p>
            <w:pPr>
              <w:ind w:left="1260" w:hanging="1260"/>
              <w:contextualSpacing/>
              <w:jc w:val="both"/>
              <w:rPr>
                <w:rFonts w:cs="Times"/>
                <w:b/>
                <w:szCs w:val="20"/>
                <w:highlight w:val="green"/>
              </w:rPr>
            </w:pPr>
            <w:r>
              <w:rPr>
                <w:rFonts w:cs="Times"/>
                <w:b/>
                <w:szCs w:val="20"/>
                <w:highlight w:val="green"/>
              </w:rPr>
              <w:t>Agreement</w:t>
            </w:r>
            <w:r>
              <w:rPr>
                <w:rFonts w:hint="eastAsia" w:eastAsia="宋体"/>
                <w:b/>
                <w:szCs w:val="20"/>
                <w:highlight w:val="none"/>
                <w:lang w:val="en-US" w:eastAsia="zh-CN"/>
              </w:rPr>
              <w:t>[#104-e]</w:t>
            </w:r>
          </w:p>
          <w:p>
            <w:pPr>
              <w:ind w:left="1260" w:hanging="1260"/>
              <w:contextualSpacing/>
              <w:jc w:val="both"/>
              <w:rPr>
                <w:rFonts w:cs="Times"/>
                <w:bCs/>
                <w:szCs w:val="20"/>
              </w:rPr>
            </w:pPr>
            <w:r>
              <w:rPr>
                <w:rFonts w:cs="Times"/>
                <w:bCs/>
                <w:szCs w:val="20"/>
              </w:rPr>
              <w:t>DCI Format 2_5 is reused to support soft resource availability indications for frequency-domain resources</w:t>
            </w:r>
          </w:p>
          <w:p>
            <w:pPr>
              <w:pStyle w:val="31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cs="Times"/>
                <w:bCs/>
                <w:szCs w:val="20"/>
              </w:rPr>
              <w:t>FFS: If additional enhancements are necessary</w:t>
            </w:r>
          </w:p>
        </w:tc>
      </w:tr>
    </w:tbl>
    <w:p>
      <w:pPr>
        <w:pStyle w:val="31"/>
        <w:ind w:firstLine="0" w:firstLineChars="0"/>
        <w:rPr>
          <w:rFonts w:hint="eastAsia"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It is known from the agreements that both in-band and out-of-band multiplexing are to be supported. To support in-band multiplexing between IAB-MT and IAB-DU, new test models need to be considered to define the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 new requirement under the situation 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where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 IAB-DU and IAB-MT transmit simultaneously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 within a carrier</w:t>
      </w:r>
      <w:r>
        <w:rPr>
          <w:rFonts w:hint="eastAsia" w:ascii="Times New Roman" w:hAnsi="Times New Roman"/>
          <w:bCs/>
          <w:kern w:val="0"/>
          <w:sz w:val="20"/>
          <w:szCs w:val="20"/>
        </w:rPr>
        <w:t>.</w:t>
      </w:r>
    </w:p>
    <w:p>
      <w:pPr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b/>
          <w:sz w:val="20"/>
          <w:szCs w:val="20"/>
          <w:lang w:val="en-US" w:eastAsia="zh-CN"/>
        </w:rPr>
        <w:t>Observation</w:t>
      </w:r>
      <w:r>
        <w:rPr>
          <w:rFonts w:hint="eastAsia" w:ascii="Times New Roman" w:hAnsi="Times New Roman"/>
          <w:b/>
          <w:sz w:val="20"/>
          <w:szCs w:val="20"/>
        </w:rPr>
        <w:t xml:space="preserve"> </w:t>
      </w:r>
      <w:r>
        <w:rPr>
          <w:rFonts w:hint="eastAsia" w:ascii="Times New Roman" w:hAnsi="Times New Roman" w:eastAsia="宋体"/>
          <w:b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/>
          <w:b/>
          <w:sz w:val="20"/>
          <w:szCs w:val="20"/>
        </w:rPr>
        <w:t>:</w:t>
      </w:r>
      <w:r>
        <w:rPr>
          <w:rFonts w:hint="eastAsia" w:eastAsia="宋体"/>
          <w:b/>
          <w:sz w:val="20"/>
          <w:szCs w:val="20"/>
          <w:lang w:val="en-US" w:eastAsia="zh-CN"/>
        </w:rPr>
        <w:t xml:space="preserve"> Both in-band and out-of-band multiplexing within an IAB node need to be supported.</w:t>
      </w:r>
    </w:p>
    <w:p>
      <w:pPr>
        <w:pStyle w:val="31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With regard to the conformance test of modulation quality and unwanted emissions, the current version of TS38.176-1/2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didn</w:t>
      </w:r>
      <w:r>
        <w:rPr>
          <w:rFonts w:ascii="Times New Roman" w:hAnsi="Times New Roman"/>
          <w:bCs/>
          <w:kern w:val="0"/>
          <w:sz w:val="20"/>
          <w:szCs w:val="20"/>
        </w:rPr>
        <w:t>’</w:t>
      </w:r>
      <w:r>
        <w:rPr>
          <w:rFonts w:hint="eastAsia" w:ascii="Times New Roman" w:hAnsi="Times New Roman"/>
          <w:bCs/>
          <w:kern w:val="0"/>
          <w:sz w:val="20"/>
          <w:szCs w:val="20"/>
        </w:rPr>
        <w:t>t consider the cases when IAB-DU and IAB-MT transmit simultaneously with unbalanced power declared by manufacturer, therefore we think that applicable test model should be further discussed and clarified.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 </w:t>
      </w:r>
    </w:p>
    <w:p>
      <w:pPr>
        <w:pStyle w:val="31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In the legacy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test mode,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the testing signal for DL or UL should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occupy the whole channel for either IAB-DU or IAB-MT transmission, however for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simultaneous transmission tests at IAB-DU and IAB-MT, frequency allocation for IAB-DU and IAB-MT should be further clarified. In figure 1, we provide 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a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 proposal on how to allocate the freque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n</w:t>
      </w:r>
      <w:r>
        <w:rPr>
          <w:rFonts w:hint="eastAsia" w:ascii="Times New Roman" w:hAnsi="Times New Roman"/>
          <w:bCs/>
          <w:kern w:val="0"/>
          <w:sz w:val="20"/>
          <w:szCs w:val="20"/>
        </w:rPr>
        <w:t>cy resou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r</w:t>
      </w:r>
      <w:r>
        <w:rPr>
          <w:rFonts w:hint="eastAsia" w:ascii="Times New Roman" w:hAnsi="Times New Roman"/>
          <w:bCs/>
          <w:kern w:val="0"/>
          <w:sz w:val="20"/>
          <w:szCs w:val="20"/>
        </w:rPr>
        <w:t>ce for IAB-DU and IAB-MT.</w:t>
      </w:r>
    </w:p>
    <w:p>
      <w:pPr>
        <w:pStyle w:val="31"/>
        <w:ind w:firstLine="0" w:firstLineChars="0"/>
        <w:jc w:val="center"/>
      </w:pPr>
      <w:r>
        <w:object>
          <v:shape id="_x0000_i1025" o:spt="75" type="#_x0000_t75" style="height:260.45pt;width:301.1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>
      <w:pPr>
        <w:pStyle w:val="31"/>
        <w:ind w:firstLine="0" w:firstLineChars="0"/>
        <w:jc w:val="center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Figure 1, Depiction of simultaneous transmission at IAB-DU and IAB-MT with or without power imbalance</w:t>
      </w:r>
    </w:p>
    <w:p>
      <w:pPr>
        <w:pStyle w:val="31"/>
        <w:ind w:firstLine="0" w:firstLineChars="0"/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To be more specific, 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f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or IAB-DU DL transmission, the PDCCH is transmitted in the first 2 OFDM symbols of a slot and other symbols are for IAB-DU PDSCH 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with RNTI = 2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, 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PDSCH with RNTI = 0 are transmitted in all OFDM symbols, and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the PUSCH for IAB-MT is transmitted in all the OFDM symbols.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Power imbalance between IAB-DU and IAB-MT could be left up the declarations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and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detailed test model could be found as 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Table 1.</w:t>
      </w:r>
    </w:p>
    <w:p>
      <w:pP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br w:type="page"/>
      </w:r>
    </w:p>
    <w:p>
      <w:pPr>
        <w:pStyle w:val="31"/>
        <w:ind w:firstLine="0" w:firstLineChars="0"/>
        <w:jc w:val="center"/>
        <w:rPr>
          <w:rFonts w:hint="default" w:ascii="Times New Roman" w:hAnsi="Times New Roman"/>
          <w:bCs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Table 1, Test models for the case when IAB-DU and IAB-MT transmit simultaneously with power imbalance</w:t>
      </w:r>
    </w:p>
    <w:tbl>
      <w:tblPr>
        <w:tblStyle w:val="19"/>
        <w:tblW w:w="96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0"/>
        <w:gridCol w:w="76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Parameter</w:t>
            </w:r>
          </w:p>
        </w:tc>
        <w:tc>
          <w:tcPr>
            <w:tcW w:w="7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val="en-US"/>
              </w:rPr>
            </w:pPr>
            <w:r>
              <w:t xml:space="preserve">Target percent of QPSK PDSCH PRBs </w:t>
            </w:r>
            <w:r>
              <w:rPr>
                <w:rFonts w:hint="eastAsia"/>
                <w:lang w:val="en-US"/>
              </w:rPr>
              <w:t>for IAB-DU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val="en-US"/>
              </w:rPr>
            </w:pPr>
            <w:r>
              <w:rPr>
                <w:i/>
              </w:rPr>
              <w:t>x</w:t>
            </w:r>
            <w:r>
              <w:t>=</w:t>
            </w:r>
            <w:r>
              <w:rPr>
                <w:rFonts w:hint="eastAsia"/>
                <w:lang w:val="en-US"/>
              </w:rPr>
              <w:t>50%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eastAsia="ko-KR"/>
              </w:rPr>
            </w:pPr>
            <w:r>
              <w:t># of QPSK PDSCH RBGs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/>
              </w:rPr>
              <w:t>for IAB-DU</w:t>
            </w:r>
            <w:r>
              <w:t xml:space="preserve"> which are 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val="en-US" w:eastAsia="ko-KR"/>
              </w:rPr>
            </w:pPr>
            <w:r>
              <w:rPr>
                <w:rFonts w:ascii="Cambria Math" w:hAnsi="Cambria Math"/>
                <w:i/>
                <w:position w:val="-28"/>
                <w:szCs w:val="22"/>
              </w:rPr>
              <w:object>
                <v:shape id="_x0000_i1026" o:spt="75" type="#_x0000_t75" style="height:34pt;width:103.95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7">
                  <o:LockedField>false</o:LockedField>
                </o:OLEObject>
              </w:object>
            </w:r>
            <w:r>
              <w:rPr>
                <w:szCs w:val="22"/>
              </w:rPr>
              <w:br w:type="textWrapping"/>
            </w:r>
            <w:r>
              <w:rPr>
                <w:szCs w:val="22"/>
              </w:rPr>
              <w:t>, where P is determined from table 5.1.2.2.1-1 from TS 38.214 [</w:t>
            </w:r>
            <w:r>
              <w:rPr>
                <w:rFonts w:hint="eastAsia"/>
                <w:szCs w:val="22"/>
                <w:lang w:val="en-US"/>
              </w:rPr>
              <w:t>24</w:t>
            </w:r>
            <w:r>
              <w:rPr>
                <w:szCs w:val="22"/>
              </w:rPr>
              <w:t xml:space="preserve">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</w:pPr>
            <w:r>
              <w:t>Locations of PDSCH RBGs</w:t>
            </w:r>
            <w:r>
              <w:rPr>
                <w:rFonts w:hint="eastAsia"/>
                <w:lang w:val="en-US"/>
              </w:rPr>
              <w:t xml:space="preserve"> for IAB-DU</w:t>
            </w:r>
            <w:r>
              <w:t xml:space="preserve"> which are 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22"/>
                <w:lang w:val="en-US"/>
              </w:rPr>
            </w:pPr>
            <w:r>
              <w:rPr>
                <w:rFonts w:ascii="Cambria Math" w:hAnsi="Cambria Math"/>
                <w:i/>
                <w:position w:val="-12"/>
                <w:szCs w:val="22"/>
              </w:rPr>
              <w:object>
                <v:shape id="_x0000_i1027" o:spt="75" type="#_x0000_t75" style="height:18pt;width:52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27" r:id="rId9">
                  <o:LockedField>false</o:LockedField>
                </o:OLEObject>
              </w:objec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Level of boosting </w:t>
            </w:r>
            <w:r>
              <w:rPr>
                <w:szCs w:val="18"/>
                <w:lang w:val="sv-SE" w:eastAsia="ko-KR"/>
              </w:rPr>
              <w:t>(dB)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lang w:val="en-US"/>
              </w:rPr>
            </w:pPr>
            <w:r>
              <w:rPr>
                <w:rFonts w:hint="eastAsia"/>
                <w:lang w:val="en-US"/>
              </w:rPr>
              <w:t>Up to declaration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jc w:val="both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# of QPSK P</w:t>
            </w:r>
            <w:r>
              <w:rPr>
                <w:rFonts w:hint="eastAsia"/>
                <w:szCs w:val="18"/>
                <w:lang w:val="en-US" w:eastAsia="zh-CN"/>
              </w:rPr>
              <w:t>U</w:t>
            </w:r>
            <w:r>
              <w:rPr>
                <w:szCs w:val="18"/>
                <w:lang w:eastAsia="ko-KR"/>
              </w:rPr>
              <w:t>SCH PRBs</w:t>
            </w:r>
            <w:r>
              <w:rPr>
                <w:rFonts w:hint="eastAsia"/>
                <w:szCs w:val="18"/>
                <w:lang w:val="en-US"/>
              </w:rPr>
              <w:t>for IAB-MT</w:t>
            </w:r>
            <w:r>
              <w:rPr>
                <w:szCs w:val="18"/>
                <w:lang w:eastAsia="ko-KR"/>
              </w:rPr>
              <w:t xml:space="preserve"> which are deboosted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jc w:val="both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ub>
                </m:sSub>
              </m:oMath>
            </m:oMathPara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eastAsia="ko-KR"/>
              </w:rPr>
            </w:pPr>
            <w:r>
              <w:t>Locations of P</w:t>
            </w:r>
            <w:r>
              <w:rPr>
                <w:rFonts w:hint="eastAsia"/>
                <w:lang w:val="en-US" w:eastAsia="zh-CN"/>
              </w:rPr>
              <w:t>U</w:t>
            </w:r>
            <w:r>
              <w:t>SCH RBGs which are deboosted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22"/>
              </w:rPr>
            </w:pPr>
          </w:p>
          <w:p>
            <w:pPr>
              <w:pStyle w:val="37"/>
              <w:adjustRightInd w:val="0"/>
              <w:snapToGrid w:val="0"/>
              <w:spacing w:after="0" w:line="240" w:lineRule="auto"/>
            </w:pPr>
            <w:r>
              <w:t xml:space="preserve">Starting at RB#3 and excluding PRBs of RBGs which are boosted </w:t>
            </w:r>
          </w:p>
          <w:p>
            <w:pPr>
              <w:pStyle w:val="37"/>
              <w:adjustRightInd w:val="0"/>
              <w:snapToGrid w:val="0"/>
              <w:spacing w:after="0" w:line="240" w:lineRule="auto"/>
              <w:rPr>
                <w:lang w:eastAsia="ko-K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</w:pPr>
            <w:r>
              <w:t>Level of deboosting (dB)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hint="eastAsia" w:ascii="Cambria Math" w:hAnsi="Cambria Math"/>
                <w:szCs w:val="22"/>
                <w:lang w:val="en-US"/>
              </w:rPr>
            </w:pPr>
            <w:r>
              <w:rPr>
                <w:rFonts w:hint="eastAsia" w:ascii="Cambria Math" w:hAnsi="Cambria Math" w:eastAsia="宋体"/>
                <w:i w:val="0"/>
                <w:position w:val="-30"/>
                <w:szCs w:val="22"/>
                <w:lang w:eastAsia="zh-CN"/>
              </w:rPr>
              <w:object>
                <v:shape id="_x0000_i1028" o:spt="75" type="#_x0000_t75" style="height:36pt;width:192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KSEE3" ShapeID="_x0000_i1028" DrawAspect="Content" ObjectID="_1468075728" r:id="rId11">
                  <o:LockedField>false</o:LockedField>
                </o:OLEObject>
              </w:objec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hint="eastAsia" w:eastAsia="宋体"/>
                <w:lang w:eastAsia="zh-CN"/>
              </w:rPr>
            </w:pPr>
            <w:r>
              <w:t>Modulation of P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/>
                <w:lang w:val="en-US"/>
              </w:rPr>
              <w:t>SCH</w:t>
            </w:r>
            <w:r>
              <w:t xml:space="preserve"> PRBs</w:t>
            </w:r>
            <w:r>
              <w:rPr>
                <w:sz w:val="20"/>
              </w:rPr>
              <w:t xml:space="preserve"> with </w:t>
            </w:r>
            <w:r>
              <w:rPr>
                <w:rFonts w:ascii="Cambria Math" w:hAnsi="Cambria Math"/>
                <w:i/>
                <w:position w:val="-12"/>
              </w:rPr>
              <w:object>
                <v:shape id="_x0000_i1029" o:spt="75" type="#_x0000_t75" style="height:18pt;width:45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KSEE3" ShapeID="_x0000_i1029" DrawAspect="Content" ObjectID="_1468075729" r:id="rId13">
                  <o:LockedField>false</o:LockedField>
                </o:OLEObject>
              </w:objec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22"/>
              </w:rPr>
            </w:pPr>
            <w:r>
              <w:rPr>
                <w:szCs w:val="22"/>
              </w:rPr>
              <w:t>QPSK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>Modulation of P</w:t>
            </w:r>
            <w:r>
              <w:rPr>
                <w:rFonts w:hint="eastAsia"/>
                <w:lang w:val="en-US"/>
              </w:rPr>
              <w:t>USCH</w:t>
            </w:r>
            <w:r>
              <w:t xml:space="preserve"> PRBs</w:t>
            </w:r>
            <w:r>
              <w:rPr>
                <w:sz w:val="20"/>
              </w:rPr>
              <w:t xml:space="preserve"> with </w:t>
            </w:r>
            <w:r>
              <w:rPr>
                <w:rFonts w:ascii="Cambria Math" w:hAnsi="Cambria Math"/>
                <w:i/>
                <w:position w:val="-12"/>
              </w:rPr>
              <w:object>
                <v:shape id="_x0000_i1030" o:spt="75" type="#_x0000_t75" style="height:18pt;width:42.95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KSEE3" ShapeID="_x0000_i1030" DrawAspect="Content" ObjectID="_1468075730" r:id="rId15">
                  <o:LockedField>false</o:LockedField>
                </o:OLEObject>
              </w:objec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ascii="Arial" w:hAnsi="Arial" w:eastAsia="宋体" w:cs="Times New Roman"/>
                <w:sz w:val="18"/>
                <w:szCs w:val="22"/>
                <w:lang w:val="en-GB" w:eastAsia="zh-CN" w:bidi="ar-SA"/>
              </w:rPr>
            </w:pPr>
            <w:r>
              <w:rPr>
                <w:szCs w:val="22"/>
              </w:rPr>
              <w:t>QPSK</w:t>
            </w:r>
          </w:p>
        </w:tc>
      </w:tr>
    </w:tbl>
    <w:p>
      <w:pPr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sz w:val="20"/>
          <w:szCs w:val="20"/>
        </w:rPr>
        <w:t xml:space="preserve">Proposal </w:t>
      </w:r>
      <w:r>
        <w:rPr>
          <w:rFonts w:hint="eastAsia" w:eastAsia="宋体"/>
          <w:b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/>
          <w:b/>
          <w:sz w:val="20"/>
          <w:szCs w:val="20"/>
        </w:rPr>
        <w:t>:</w:t>
      </w:r>
      <w:r>
        <w:rPr>
          <w:rFonts w:hint="eastAsia" w:eastAsia="宋体"/>
          <w:b/>
          <w:sz w:val="20"/>
          <w:szCs w:val="20"/>
          <w:lang w:val="en-US" w:eastAsia="zh-CN"/>
        </w:rPr>
        <w:t xml:space="preserve"> To consider the following power allocation and frequency resource allocation for ACLR testing when IAB-DU and IAB-MT of the same IAB-Node transmit simultaneously.</w:t>
      </w:r>
    </w:p>
    <w:tbl>
      <w:tblPr>
        <w:tblStyle w:val="19"/>
        <w:tblW w:w="96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0"/>
        <w:gridCol w:w="76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Parameter</w:t>
            </w:r>
          </w:p>
        </w:tc>
        <w:tc>
          <w:tcPr>
            <w:tcW w:w="7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val="en-US"/>
              </w:rPr>
            </w:pPr>
            <w:r>
              <w:t xml:space="preserve">Target percent of QPSK PDSCH PRBs </w:t>
            </w:r>
            <w:r>
              <w:rPr>
                <w:rFonts w:hint="eastAsia"/>
                <w:lang w:val="en-US"/>
              </w:rPr>
              <w:t>for IAB-DU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val="en-US"/>
              </w:rPr>
            </w:pPr>
            <w:r>
              <w:rPr>
                <w:i/>
              </w:rPr>
              <w:t>x</w:t>
            </w:r>
            <w:r>
              <w:t>=</w:t>
            </w:r>
            <w:r>
              <w:rPr>
                <w:rFonts w:hint="eastAsia"/>
                <w:lang w:val="en-US"/>
              </w:rPr>
              <w:t>50%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eastAsia="ko-KR"/>
              </w:rPr>
            </w:pPr>
            <w:r>
              <w:t># of QPSK PDSCH RBGs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/>
              </w:rPr>
              <w:t>for IAB-DU</w:t>
            </w:r>
            <w:r>
              <w:t xml:space="preserve"> which are 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val="en-US" w:eastAsia="ko-KR"/>
              </w:rPr>
            </w:pPr>
            <w:r>
              <w:rPr>
                <w:rFonts w:ascii="Cambria Math" w:hAnsi="Cambria Math"/>
                <w:i/>
                <w:position w:val="-28"/>
                <w:szCs w:val="22"/>
              </w:rPr>
              <w:object>
                <v:shape id="_x0000_i1031" o:spt="75" type="#_x0000_t75" style="height:34pt;width:103.95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31" DrawAspect="Content" ObjectID="_1468075731" r:id="rId17">
                  <o:LockedField>false</o:LockedField>
                </o:OLEObject>
              </w:object>
            </w:r>
            <w:r>
              <w:rPr>
                <w:szCs w:val="22"/>
              </w:rPr>
              <w:br w:type="textWrapping"/>
            </w:r>
            <w:r>
              <w:rPr>
                <w:szCs w:val="22"/>
              </w:rPr>
              <w:t>, where P is determined from table 5.1.2.2.1-1 from TS 38.214 [</w:t>
            </w:r>
            <w:r>
              <w:rPr>
                <w:rFonts w:hint="eastAsia"/>
                <w:szCs w:val="22"/>
                <w:lang w:val="en-US"/>
              </w:rPr>
              <w:t>24</w:t>
            </w:r>
            <w:r>
              <w:rPr>
                <w:szCs w:val="22"/>
              </w:rPr>
              <w:t xml:space="preserve">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</w:pPr>
            <w:r>
              <w:t>Locations of PDSCH RBGs</w:t>
            </w:r>
            <w:r>
              <w:rPr>
                <w:rFonts w:hint="eastAsia"/>
                <w:lang w:val="en-US"/>
              </w:rPr>
              <w:t xml:space="preserve"> for IAB-DU</w:t>
            </w:r>
            <w:r>
              <w:t xml:space="preserve"> which are 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22"/>
                <w:lang w:val="en-US"/>
              </w:rPr>
            </w:pPr>
            <w:r>
              <w:rPr>
                <w:rFonts w:ascii="Cambria Math" w:hAnsi="Cambria Math"/>
                <w:i/>
                <w:position w:val="-12"/>
                <w:szCs w:val="22"/>
              </w:rPr>
              <w:object>
                <v:shape id="_x0000_i1032" o:spt="75" type="#_x0000_t75" style="height:18pt;width:52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32" DrawAspect="Content" ObjectID="_1468075732" r:id="rId18">
                  <o:LockedField>false</o:LockedField>
                </o:OLEObject>
              </w:objec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Level of boosting </w:t>
            </w:r>
            <w:r>
              <w:rPr>
                <w:szCs w:val="18"/>
                <w:lang w:val="sv-SE" w:eastAsia="ko-KR"/>
              </w:rPr>
              <w:t>(dB)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lang w:val="en-US"/>
              </w:rPr>
            </w:pPr>
            <w:r>
              <w:rPr>
                <w:rFonts w:hint="eastAsia"/>
                <w:lang w:val="en-US"/>
              </w:rPr>
              <w:t>Up to declaration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# of QPSK P</w:t>
            </w:r>
            <w:r>
              <w:rPr>
                <w:rFonts w:hint="eastAsia"/>
                <w:szCs w:val="18"/>
                <w:lang w:val="en-US" w:eastAsia="zh-CN"/>
              </w:rPr>
              <w:t>U</w:t>
            </w:r>
            <w:r>
              <w:rPr>
                <w:szCs w:val="18"/>
                <w:lang w:eastAsia="ko-KR"/>
              </w:rPr>
              <w:t>SCH PRBs</w:t>
            </w:r>
            <w:r>
              <w:rPr>
                <w:rFonts w:hint="eastAsia"/>
                <w:szCs w:val="18"/>
                <w:lang w:val="en-US"/>
              </w:rPr>
              <w:t>for IAB-MT</w:t>
            </w:r>
            <w:r>
              <w:rPr>
                <w:szCs w:val="18"/>
                <w:lang w:eastAsia="ko-KR"/>
              </w:rPr>
              <w:t xml:space="preserve"> which are deboosted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ub>
                </m:sSub>
              </m:oMath>
            </m:oMathPara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eastAsia="ko-KR"/>
              </w:rPr>
            </w:pPr>
            <w:r>
              <w:t>Locations of P</w:t>
            </w:r>
            <w:r>
              <w:rPr>
                <w:rFonts w:hint="eastAsia"/>
                <w:lang w:val="en-US" w:eastAsia="zh-CN"/>
              </w:rPr>
              <w:t>U</w:t>
            </w:r>
            <w:r>
              <w:t>SCH RBGs which are deboosted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22"/>
              </w:rPr>
            </w:pPr>
          </w:p>
          <w:p>
            <w:pPr>
              <w:pStyle w:val="37"/>
              <w:adjustRightInd w:val="0"/>
              <w:snapToGrid w:val="0"/>
              <w:spacing w:after="0" w:line="240" w:lineRule="auto"/>
            </w:pPr>
            <w:r>
              <w:t xml:space="preserve">Starting at RB#3 and excluding PRBs of RBGs which are boosted </w:t>
            </w:r>
          </w:p>
          <w:p>
            <w:pPr>
              <w:pStyle w:val="37"/>
              <w:adjustRightInd w:val="0"/>
              <w:snapToGrid w:val="0"/>
              <w:spacing w:after="0" w:line="240" w:lineRule="auto"/>
              <w:rPr>
                <w:lang w:eastAsia="ko-K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</w:pPr>
            <w:r>
              <w:t>Level of deboosting (dB)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hint="eastAsia" w:ascii="Cambria Math" w:hAnsi="Cambria Math"/>
                <w:szCs w:val="22"/>
                <w:lang w:val="en-US"/>
              </w:rPr>
            </w:pPr>
            <w:r>
              <w:rPr>
                <w:rFonts w:hint="eastAsia" w:ascii="Cambria Math" w:hAnsi="Cambria Math" w:eastAsia="宋体"/>
                <w:i w:val="0"/>
                <w:position w:val="-30"/>
                <w:szCs w:val="22"/>
                <w:lang w:eastAsia="zh-CN"/>
              </w:rPr>
              <w:object>
                <v:shape id="_x0000_i1033" o:spt="75" type="#_x0000_t75" style="height:36pt;width:192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KSEE3" ShapeID="_x0000_i1033" DrawAspect="Content" ObjectID="_1468075733" r:id="rId19">
                  <o:LockedField>false</o:LockedField>
                </o:OLEObject>
              </w:objec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>Modulation of P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/>
                <w:lang w:val="en-US"/>
              </w:rPr>
              <w:t>SCH</w:t>
            </w:r>
            <w:r>
              <w:t xml:space="preserve"> PRBs</w:t>
            </w:r>
            <w:r>
              <w:rPr>
                <w:sz w:val="20"/>
              </w:rPr>
              <w:t xml:space="preserve"> with </w:t>
            </w:r>
            <w:r>
              <w:rPr>
                <w:rFonts w:ascii="Cambria Math" w:hAnsi="Cambria Math"/>
                <w:i/>
                <w:position w:val="-12"/>
              </w:rPr>
              <w:object>
                <v:shape id="_x0000_i1034" o:spt="75" type="#_x0000_t75" style="height:18pt;width:45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KSEE3" ShapeID="_x0000_i1034" DrawAspect="Content" ObjectID="_1468075734" r:id="rId20">
                  <o:LockedField>false</o:LockedField>
                </o:OLEObject>
              </w:objec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ascii="Arial" w:hAnsi="Arial" w:eastAsia="宋体" w:cs="Times New Roman"/>
                <w:sz w:val="18"/>
                <w:szCs w:val="22"/>
                <w:lang w:val="en-GB" w:eastAsia="zh-CN" w:bidi="ar-SA"/>
              </w:rPr>
            </w:pPr>
            <w:r>
              <w:rPr>
                <w:szCs w:val="22"/>
              </w:rPr>
              <w:t>QPSK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hint="eastAsia" w:eastAsia="宋体"/>
                <w:lang w:eastAsia="zh-CN"/>
              </w:rPr>
            </w:pPr>
            <w:r>
              <w:t>Modulation of P</w:t>
            </w:r>
            <w:r>
              <w:rPr>
                <w:rFonts w:hint="eastAsia"/>
                <w:lang w:val="en-US"/>
              </w:rPr>
              <w:t>USCH</w:t>
            </w:r>
            <w:r>
              <w:t xml:space="preserve"> PRBs</w:t>
            </w:r>
            <w:r>
              <w:rPr>
                <w:sz w:val="20"/>
              </w:rPr>
              <w:t xml:space="preserve"> with </w:t>
            </w:r>
            <w:r>
              <w:rPr>
                <w:rFonts w:ascii="Cambria Math" w:hAnsi="Cambria Math"/>
                <w:i/>
                <w:position w:val="-12"/>
              </w:rPr>
              <w:object>
                <v:shape id="_x0000_i1035" o:spt="75" type="#_x0000_t75" style="height:18pt;width:42.95pt;" o:ole="t" filled="f" o:preferrelative="t" stroked="f" coordsize="21600,21600">
                  <v:path/>
                  <v:fill on="f" focussize="0,0"/>
                  <v:stroke on="f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KSEE3" ShapeID="_x0000_i1035" DrawAspect="Content" ObjectID="_1468075735" r:id="rId21">
                  <o:LockedField>false</o:LockedField>
                </o:OLEObject>
              </w:objec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22"/>
              </w:rPr>
            </w:pPr>
            <w:r>
              <w:rPr>
                <w:szCs w:val="22"/>
              </w:rPr>
              <w:t>QPSK</w:t>
            </w:r>
          </w:p>
        </w:tc>
      </w:tr>
    </w:tbl>
    <w:p>
      <w:pPr>
        <w:pStyle w:val="31"/>
        <w:suppressAutoHyphens/>
        <w:adjustRightInd/>
        <w:snapToGrid/>
        <w:spacing w:beforeLines="-2147483648" w:after="0" w:line="240" w:lineRule="auto"/>
        <w:ind w:firstLine="0" w:firstLineChars="0"/>
        <w:rPr>
          <w:rFonts w:hint="eastAsia" w:ascii="Times New Roman" w:hAnsi="Times New Roman"/>
          <w:b w:val="0"/>
          <w:bCs/>
          <w:kern w:val="0"/>
          <w:sz w:val="20"/>
          <w:szCs w:val="20"/>
          <w:lang w:val="en-US" w:eastAsia="zh-CN"/>
        </w:rPr>
      </w:pPr>
    </w:p>
    <w:p>
      <w:pPr>
        <w:pStyle w:val="31"/>
        <w:suppressAutoHyphens/>
        <w:adjustRightInd/>
        <w:snapToGrid/>
        <w:spacing w:beforeLines="-2147483648" w:after="0" w:line="240" w:lineRule="auto"/>
        <w:ind w:firstLine="0" w:firstLineChars="0"/>
        <w:rPr>
          <w:rFonts w:hint="eastAsia" w:ascii="Times New Roman" w:hAnsi="Times New Roman"/>
          <w:b w:val="0"/>
          <w:bCs/>
          <w:strike/>
          <w:color w:val="auto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 w:val="0"/>
          <w:bCs/>
          <w:color w:val="auto"/>
          <w:kern w:val="0"/>
          <w:sz w:val="20"/>
          <w:szCs w:val="20"/>
          <w:lang w:val="en-US" w:eastAsia="zh-CN"/>
        </w:rPr>
        <w:t>I</w:t>
      </w:r>
      <w:r>
        <w:rPr>
          <w:rFonts w:hint="eastAsia" w:ascii="Times New Roman" w:hAnsi="Times New Roman"/>
          <w:b w:val="0"/>
          <w:bCs/>
          <w:color w:val="auto"/>
          <w:kern w:val="0"/>
          <w:sz w:val="20"/>
          <w:szCs w:val="20"/>
        </w:rPr>
        <w:t xml:space="preserve">t is </w:t>
      </w:r>
      <w:r>
        <w:rPr>
          <w:rFonts w:hint="eastAsia" w:ascii="Times New Roman" w:hAnsi="Times New Roman"/>
          <w:b w:val="0"/>
          <w:bCs/>
          <w:color w:val="auto"/>
          <w:kern w:val="0"/>
          <w:sz w:val="20"/>
          <w:szCs w:val="20"/>
          <w:lang w:val="en-US" w:eastAsia="zh-CN"/>
        </w:rPr>
        <w:t xml:space="preserve">should be explicitly described </w:t>
      </w:r>
      <w:r>
        <w:rPr>
          <w:rFonts w:hint="eastAsia" w:ascii="Times New Roman" w:hAnsi="Times New Roman"/>
          <w:b w:val="0"/>
          <w:bCs/>
          <w:kern w:val="0"/>
          <w:sz w:val="20"/>
          <w:szCs w:val="20"/>
          <w:lang w:val="en-US" w:eastAsia="zh-CN"/>
        </w:rPr>
        <w:t xml:space="preserve">in the test model </w:t>
      </w:r>
      <w:r>
        <w:rPr>
          <w:rFonts w:hint="eastAsia" w:ascii="Times New Roman" w:hAnsi="Times New Roman"/>
          <w:b w:val="0"/>
          <w:bCs/>
          <w:color w:val="auto"/>
          <w:kern w:val="0"/>
          <w:sz w:val="20"/>
          <w:szCs w:val="20"/>
          <w:lang w:val="en-US" w:eastAsia="zh-CN"/>
        </w:rPr>
        <w:t>that IAB-DU and IAB-MT</w:t>
      </w:r>
      <w:r>
        <w:rPr>
          <w:rFonts w:hint="eastAsia" w:ascii="Times New Roman" w:hAnsi="Times New Roman"/>
          <w:b w:val="0"/>
          <w:bCs/>
          <w:color w:val="auto"/>
          <w:kern w:val="0"/>
          <w:sz w:val="20"/>
          <w:szCs w:val="20"/>
        </w:rPr>
        <w:t xml:space="preserve"> </w:t>
      </w:r>
      <w:r>
        <w:rPr>
          <w:rFonts w:hint="eastAsia" w:ascii="Times New Roman" w:hAnsi="Times New Roman"/>
          <w:b w:val="0"/>
          <w:bCs/>
          <w:color w:val="auto"/>
          <w:kern w:val="0"/>
          <w:sz w:val="20"/>
          <w:szCs w:val="20"/>
          <w:lang w:val="en-US" w:eastAsia="zh-CN"/>
        </w:rPr>
        <w:t>transmit simultaneously when</w:t>
      </w:r>
      <w:r>
        <w:rPr>
          <w:rFonts w:hint="eastAsia" w:ascii="Times New Roman" w:hAnsi="Times New Roman"/>
          <w:b w:val="0"/>
          <w:bCs/>
          <w:color w:val="auto"/>
          <w:kern w:val="0"/>
          <w:sz w:val="20"/>
          <w:szCs w:val="20"/>
        </w:rPr>
        <w:t xml:space="preserve"> measuring EVM and ACLR</w:t>
      </w:r>
      <w:r>
        <w:rPr>
          <w:rFonts w:hint="eastAsia" w:ascii="Times New Roman" w:hAnsi="Times New Roman"/>
          <w:b w:val="0"/>
          <w:bCs/>
          <w:color w:val="auto"/>
          <w:kern w:val="0"/>
          <w:sz w:val="20"/>
          <w:szCs w:val="20"/>
          <w:lang w:val="en-US" w:eastAsia="zh-CN"/>
        </w:rPr>
        <w:t xml:space="preserve">. </w:t>
      </w:r>
    </w:p>
    <w:p>
      <w:pPr>
        <w:pStyle w:val="31"/>
        <w:suppressAutoHyphens/>
        <w:adjustRightInd w:val="0"/>
        <w:snapToGrid w:val="0"/>
        <w:spacing w:beforeLines="50" w:after="0" w:line="240" w:lineRule="auto"/>
        <w:ind w:firstLine="0" w:firstLineChars="0"/>
        <w:rPr>
          <w:b/>
          <w:szCs w:val="20"/>
        </w:rPr>
      </w:pPr>
      <w:r>
        <w:rPr>
          <w:rFonts w:hint="eastAsia" w:ascii="Times New Roman" w:hAnsi="Times New Roman"/>
          <w:bCs w:val="0"/>
          <w:color w:val="000000"/>
          <w:kern w:val="0"/>
          <w:sz w:val="20"/>
          <w:szCs w:val="24"/>
          <w:lang w:val="en-US" w:eastAsia="zh-CN"/>
        </w:rPr>
        <w:t xml:space="preserve">For EVM conformance testing </w:t>
      </w:r>
      <w:r>
        <w:rPr>
          <w:rFonts w:hint="eastAsia" w:ascii="Times New Roman" w:hAnsi="Times New Roman" w:eastAsia="宋体"/>
          <w:b w:val="0"/>
          <w:color w:val="000000"/>
          <w:kern w:val="0"/>
          <w:sz w:val="20"/>
          <w:szCs w:val="24"/>
          <w:lang w:val="en-US" w:eastAsia="zh-CN"/>
        </w:rPr>
        <w:t>when IAB-DU and IAB-MT of the same IAB-Node transmit simultaneously</w:t>
      </w:r>
      <w:r>
        <w:rPr>
          <w:rFonts w:hint="eastAsia" w:ascii="Times New Roman" w:hAnsi="Times New Roman"/>
          <w:b w:val="0"/>
          <w:color w:val="000000"/>
          <w:kern w:val="0"/>
          <w:sz w:val="20"/>
          <w:szCs w:val="24"/>
          <w:lang w:val="en-US" w:eastAsia="zh-CN"/>
        </w:rPr>
        <w:t>, the modulation order in the above table could be updated correspondingly.</w:t>
      </w:r>
      <w:r>
        <w:rPr>
          <w:rFonts w:hint="eastAsia"/>
          <w:b/>
          <w:szCs w:val="20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suppressAutoHyphens/>
        <w:spacing w:after="80" w:line="260" w:lineRule="auto"/>
        <w:rPr>
          <w:rFonts w:eastAsia="宋体"/>
          <w:bCs/>
          <w:szCs w:val="20"/>
          <w:lang w:eastAsia="zh-CN"/>
        </w:rPr>
      </w:pPr>
      <w:r>
        <w:rPr>
          <w:rFonts w:eastAsia="宋体"/>
          <w:bCs/>
          <w:szCs w:val="20"/>
          <w:lang w:eastAsia="zh-CN"/>
        </w:rPr>
        <w:t xml:space="preserve">Based on the analysis, the following </w:t>
      </w:r>
      <w:r>
        <w:rPr>
          <w:rFonts w:hint="eastAsia" w:eastAsia="宋体"/>
          <w:bCs/>
          <w:szCs w:val="20"/>
          <w:lang w:val="en-US" w:eastAsia="zh-CN"/>
        </w:rPr>
        <w:t xml:space="preserve">observation and </w:t>
      </w:r>
      <w:r>
        <w:rPr>
          <w:rFonts w:eastAsia="宋体"/>
          <w:bCs/>
          <w:szCs w:val="20"/>
          <w:lang w:eastAsia="zh-CN"/>
        </w:rPr>
        <w:t>proposal</w:t>
      </w:r>
      <w:r>
        <w:rPr>
          <w:rFonts w:hint="eastAsia" w:eastAsia="宋体"/>
          <w:bCs/>
          <w:szCs w:val="20"/>
          <w:lang w:val="en-US" w:eastAsia="zh-CN"/>
        </w:rPr>
        <w:t>s</w:t>
      </w:r>
      <w:r>
        <w:rPr>
          <w:rFonts w:eastAsia="宋体"/>
          <w:bCs/>
          <w:szCs w:val="20"/>
          <w:lang w:eastAsia="zh-CN"/>
        </w:rPr>
        <w:t xml:space="preserve"> </w:t>
      </w:r>
      <w:r>
        <w:rPr>
          <w:rFonts w:hint="eastAsia" w:eastAsia="宋体"/>
          <w:bCs/>
          <w:szCs w:val="20"/>
          <w:lang w:val="en-US" w:eastAsia="zh-CN"/>
        </w:rPr>
        <w:t xml:space="preserve">are </w:t>
      </w:r>
      <w:r>
        <w:rPr>
          <w:rFonts w:eastAsia="宋体"/>
          <w:bCs/>
          <w:szCs w:val="20"/>
          <w:lang w:eastAsia="zh-CN"/>
        </w:rPr>
        <w:t>given:</w:t>
      </w:r>
    </w:p>
    <w:p>
      <w:pPr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b/>
          <w:sz w:val="20"/>
          <w:szCs w:val="20"/>
          <w:lang w:val="en-US" w:eastAsia="zh-CN"/>
        </w:rPr>
        <w:t>Observation</w:t>
      </w:r>
      <w:r>
        <w:rPr>
          <w:rFonts w:hint="eastAsia" w:ascii="Times New Roman" w:hAnsi="Times New Roman"/>
          <w:b/>
          <w:sz w:val="20"/>
          <w:szCs w:val="20"/>
        </w:rPr>
        <w:t xml:space="preserve"> </w:t>
      </w:r>
      <w:r>
        <w:rPr>
          <w:rFonts w:hint="eastAsia" w:ascii="Times New Roman" w:hAnsi="Times New Roman" w:eastAsia="宋体"/>
          <w:b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/>
          <w:b/>
          <w:sz w:val="20"/>
          <w:szCs w:val="20"/>
        </w:rPr>
        <w:t>:</w:t>
      </w:r>
      <w:r>
        <w:rPr>
          <w:rFonts w:hint="eastAsia" w:eastAsia="宋体"/>
          <w:b/>
          <w:sz w:val="20"/>
          <w:szCs w:val="20"/>
          <w:lang w:val="en-US" w:eastAsia="zh-CN"/>
        </w:rPr>
        <w:t xml:space="preserve"> Both in-band and out-of-band multiplexing within an IAB node need to be supported.</w:t>
      </w:r>
    </w:p>
    <w:p>
      <w:pPr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sz w:val="20"/>
          <w:szCs w:val="20"/>
        </w:rPr>
        <w:t>Proposal 1:</w:t>
      </w:r>
      <w:r>
        <w:rPr>
          <w:rFonts w:hint="eastAsia" w:eastAsia="宋体"/>
          <w:b/>
          <w:sz w:val="20"/>
          <w:szCs w:val="20"/>
          <w:lang w:val="en-US" w:eastAsia="zh-CN"/>
        </w:rPr>
        <w:t xml:space="preserve"> To consider DMRS of PUSCH of an IAB-MT and the DMRS of PDSCH of an IAB-DU within an IAB node as the tested signals for TAE tests.</w:t>
      </w:r>
    </w:p>
    <w:p>
      <w:pPr>
        <w:rPr>
          <w:rFonts w:hint="eastAsia" w:eastAsia="宋体"/>
          <w:b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sz w:val="20"/>
          <w:szCs w:val="20"/>
        </w:rPr>
        <w:t xml:space="preserve">Proposal </w:t>
      </w:r>
      <w:r>
        <w:rPr>
          <w:rFonts w:hint="eastAsia" w:eastAsia="宋体"/>
          <w:b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/>
          <w:b/>
          <w:sz w:val="20"/>
          <w:szCs w:val="20"/>
        </w:rPr>
        <w:t>:</w:t>
      </w:r>
      <w:r>
        <w:rPr>
          <w:rFonts w:hint="eastAsia" w:eastAsia="宋体"/>
          <w:b/>
          <w:sz w:val="20"/>
          <w:szCs w:val="20"/>
          <w:lang w:val="en-US" w:eastAsia="zh-CN"/>
        </w:rPr>
        <w:t xml:space="preserve"> To consider the following power allocation and frequency resource allocation for ACLR testing when IAB-DU and IAB-MT of the same IAB-Node transmit simultaneously.</w:t>
      </w:r>
    </w:p>
    <w:tbl>
      <w:tblPr>
        <w:tblStyle w:val="19"/>
        <w:tblW w:w="96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0"/>
        <w:gridCol w:w="76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Parameter</w:t>
            </w:r>
          </w:p>
        </w:tc>
        <w:tc>
          <w:tcPr>
            <w:tcW w:w="7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val="en-US"/>
              </w:rPr>
            </w:pPr>
            <w:r>
              <w:t xml:space="preserve">Target percent of QPSK PDSCH PRBs </w:t>
            </w:r>
            <w:r>
              <w:rPr>
                <w:rFonts w:hint="eastAsia"/>
                <w:lang w:val="en-US"/>
              </w:rPr>
              <w:t>for IAB-DU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val="en-US"/>
              </w:rPr>
            </w:pPr>
            <w:r>
              <w:rPr>
                <w:i/>
              </w:rPr>
              <w:t>x</w:t>
            </w:r>
            <w:r>
              <w:t>=</w:t>
            </w:r>
            <w:r>
              <w:rPr>
                <w:rFonts w:hint="eastAsia"/>
                <w:lang w:val="en-US"/>
              </w:rPr>
              <w:t>50%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eastAsia="ko-KR"/>
              </w:rPr>
            </w:pPr>
            <w:r>
              <w:t># of QPSK PDSCH RBGs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/>
              </w:rPr>
              <w:t>for IAB-DU</w:t>
            </w:r>
            <w:r>
              <w:t xml:space="preserve"> which are 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val="en-US" w:eastAsia="ko-KR"/>
              </w:rPr>
            </w:pPr>
            <w:r>
              <w:rPr>
                <w:rFonts w:ascii="Cambria Math" w:hAnsi="Cambria Math"/>
                <w:i/>
                <w:position w:val="-28"/>
                <w:szCs w:val="22"/>
              </w:rPr>
              <w:object>
                <v:shape id="_x0000_i1036" o:spt="75" type="#_x0000_t75" style="height:34pt;width:103.95pt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36" DrawAspect="Content" ObjectID="_1468075736" r:id="rId23">
                  <o:LockedField>false</o:LockedField>
                </o:OLEObject>
              </w:object>
            </w:r>
            <w:r>
              <w:rPr>
                <w:szCs w:val="22"/>
              </w:rPr>
              <w:br w:type="textWrapping"/>
            </w:r>
            <w:r>
              <w:rPr>
                <w:szCs w:val="22"/>
              </w:rPr>
              <w:t>, where P is determined from table 5.1.2.2.1-1 from TS 38.214 [</w:t>
            </w:r>
            <w:r>
              <w:rPr>
                <w:rFonts w:hint="eastAsia"/>
                <w:szCs w:val="22"/>
                <w:lang w:val="en-US"/>
              </w:rPr>
              <w:t>24</w:t>
            </w:r>
            <w:r>
              <w:rPr>
                <w:szCs w:val="22"/>
              </w:rPr>
              <w:t xml:space="preserve">], configuration 1 column using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size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ub>
              </m:sSub>
              <m:r>
                <w:rPr>
                  <w:rFonts w:ascii="Cambria Math" w:hAnsi="Cambria Math"/>
                  <w:szCs w:val="22"/>
                </w:rPr>
                <m:t>-3</m:t>
              </m:r>
            </m:oMath>
            <w:r>
              <w:rPr>
                <w:szCs w:val="22"/>
              </w:rPr>
              <w:t xml:space="preserve"> as the size of the bandwidth part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BWP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start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r>
                <w:rPr>
                  <w:rFonts w:ascii="Cambria Math" w:hAnsi="Cambria Math"/>
                </w:rPr>
                <m:t>=3</m:t>
              </m:r>
            </m:oMath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</w:pPr>
            <w:r>
              <w:t>Locations of PDSCH RBGs</w:t>
            </w:r>
            <w:r>
              <w:rPr>
                <w:rFonts w:hint="eastAsia"/>
                <w:lang w:val="en-US"/>
              </w:rPr>
              <w:t xml:space="preserve"> for IAB-DU</w:t>
            </w:r>
            <w:r>
              <w:t xml:space="preserve"> which are 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22"/>
                <w:lang w:val="en-US"/>
              </w:rPr>
            </w:pPr>
            <w:r>
              <w:rPr>
                <w:rFonts w:ascii="Cambria Math" w:hAnsi="Cambria Math"/>
                <w:i/>
                <w:position w:val="-12"/>
                <w:szCs w:val="22"/>
              </w:rPr>
              <w:object>
                <v:shape id="_x0000_i1037" o:spt="75" type="#_x0000_t75" style="height:18pt;width:52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37" DrawAspect="Content" ObjectID="_1468075737" r:id="rId24">
                  <o:LockedField>false</o:LockedField>
                </o:OLEObject>
              </w:objec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Level of boosting </w:t>
            </w:r>
            <w:r>
              <w:rPr>
                <w:szCs w:val="18"/>
                <w:lang w:val="sv-SE" w:eastAsia="ko-KR"/>
              </w:rPr>
              <w:t>(dB)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lang w:val="en-US"/>
              </w:rPr>
            </w:pPr>
            <w:r>
              <w:rPr>
                <w:rFonts w:hint="eastAsia"/>
                <w:lang w:val="en-US"/>
              </w:rPr>
              <w:t>Up to declaration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# of QPSK P</w:t>
            </w:r>
            <w:r>
              <w:rPr>
                <w:rFonts w:hint="eastAsia"/>
                <w:szCs w:val="18"/>
                <w:lang w:val="en-US" w:eastAsia="zh-CN"/>
              </w:rPr>
              <w:t>U</w:t>
            </w:r>
            <w:r>
              <w:rPr>
                <w:szCs w:val="18"/>
                <w:lang w:eastAsia="ko-KR"/>
              </w:rPr>
              <w:t>SCH PRBs</w:t>
            </w:r>
            <w:r>
              <w:rPr>
                <w:rFonts w:hint="eastAsia"/>
                <w:szCs w:val="18"/>
                <w:lang w:val="en-US"/>
              </w:rPr>
              <w:t>for IAB-MT</w:t>
            </w:r>
            <w:r>
              <w:rPr>
                <w:szCs w:val="18"/>
                <w:lang w:eastAsia="ko-KR"/>
              </w:rPr>
              <w:t xml:space="preserve"> which are deboosted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Cs w:val="22"/>
                  </w:rPr>
                  <m:t>-3-P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ub>
                </m:sSub>
              </m:oMath>
            </m:oMathPara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18"/>
                <w:lang w:eastAsia="ko-KR"/>
              </w:rPr>
            </w:pPr>
            <w:r>
              <w:t>Locations of P</w:t>
            </w:r>
            <w:r>
              <w:rPr>
                <w:rFonts w:hint="eastAsia"/>
                <w:lang w:val="en-US" w:eastAsia="zh-CN"/>
              </w:rPr>
              <w:t>U</w:t>
            </w:r>
            <w:r>
              <w:t>SCH RBGs which are deboosted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22"/>
              </w:rPr>
            </w:pPr>
          </w:p>
          <w:p>
            <w:pPr>
              <w:pStyle w:val="37"/>
              <w:adjustRightInd w:val="0"/>
              <w:snapToGrid w:val="0"/>
              <w:spacing w:after="0" w:line="240" w:lineRule="auto"/>
            </w:pPr>
            <w:r>
              <w:t xml:space="preserve">Starting at RB#3 and excluding PRBs of RBGs which are boosted </w:t>
            </w:r>
          </w:p>
          <w:p>
            <w:pPr>
              <w:pStyle w:val="37"/>
              <w:adjustRightInd w:val="0"/>
              <w:snapToGrid w:val="0"/>
              <w:spacing w:after="0" w:line="240" w:lineRule="auto"/>
              <w:rPr>
                <w:lang w:eastAsia="ko-K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</w:pPr>
            <w:r>
              <w:t>Level of deboosting (dB)</w: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hint="eastAsia" w:ascii="Cambria Math" w:hAnsi="Cambria Math"/>
                <w:szCs w:val="22"/>
                <w:lang w:val="en-US"/>
              </w:rPr>
            </w:pPr>
            <w:r>
              <w:rPr>
                <w:rFonts w:hint="eastAsia" w:ascii="Cambria Math" w:hAnsi="Cambria Math" w:eastAsia="宋体"/>
                <w:i w:val="0"/>
                <w:position w:val="-30"/>
                <w:szCs w:val="22"/>
                <w:lang w:eastAsia="zh-CN"/>
              </w:rPr>
              <w:object>
                <v:shape id="_x0000_i1038" o:spt="75" type="#_x0000_t75" style="height:36pt;width:192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KSEE3" ShapeID="_x0000_i1038" DrawAspect="Content" ObjectID="_1468075738" r:id="rId25">
                  <o:LockedField>false</o:LockedField>
                </o:OLEObject>
              </w:objec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hint="eastAsia" w:ascii="Arial" w:hAnsi="Arial" w:eastAsia="宋体" w:cs="Times New Roman"/>
                <w:sz w:val="18"/>
                <w:szCs w:val="20"/>
                <w:lang w:val="en-GB" w:eastAsia="zh-CN" w:bidi="ar-SA"/>
              </w:rPr>
            </w:pPr>
            <w:r>
              <w:t>Modulation of P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/>
                <w:lang w:val="en-US"/>
              </w:rPr>
              <w:t>SCH</w:t>
            </w:r>
            <w:r>
              <w:t xml:space="preserve"> PRBs</w:t>
            </w:r>
            <w:r>
              <w:rPr>
                <w:sz w:val="20"/>
              </w:rPr>
              <w:t xml:space="preserve"> with </w:t>
            </w:r>
            <w:r>
              <w:rPr>
                <w:rFonts w:ascii="Cambria Math" w:hAnsi="Cambria Math"/>
                <w:i/>
                <w:position w:val="-12"/>
              </w:rPr>
              <w:object>
                <v:shape id="_x0000_i1039" o:spt="75" type="#_x0000_t75" style="height:18pt;width:45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KSEE3" ShapeID="_x0000_i1039" DrawAspect="Content" ObjectID="_1468075739" r:id="rId26">
                  <o:LockedField>false</o:LockedField>
                </o:OLEObject>
              </w:objec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ascii="Arial" w:hAnsi="Arial" w:eastAsia="宋体" w:cs="Times New Roman"/>
                <w:sz w:val="18"/>
                <w:szCs w:val="22"/>
                <w:lang w:val="en-GB" w:eastAsia="zh-CN" w:bidi="ar-SA"/>
              </w:rPr>
            </w:pPr>
            <w:r>
              <w:rPr>
                <w:szCs w:val="22"/>
              </w:rPr>
              <w:t>QPSK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0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rFonts w:hint="eastAsia" w:eastAsia="宋体"/>
                <w:lang w:eastAsia="zh-CN"/>
              </w:rPr>
            </w:pPr>
            <w:r>
              <w:t>Modulation of P</w:t>
            </w:r>
            <w:r>
              <w:rPr>
                <w:rFonts w:hint="eastAsia"/>
                <w:lang w:val="en-US"/>
              </w:rPr>
              <w:t>USCH</w:t>
            </w:r>
            <w:r>
              <w:t xml:space="preserve"> PRBs</w:t>
            </w:r>
            <w:r>
              <w:rPr>
                <w:sz w:val="20"/>
              </w:rPr>
              <w:t xml:space="preserve"> with </w:t>
            </w:r>
            <w:r>
              <w:rPr>
                <w:rFonts w:ascii="Cambria Math" w:hAnsi="Cambria Math"/>
                <w:i/>
                <w:position w:val="-12"/>
              </w:rPr>
              <w:object>
                <v:shape id="_x0000_i1040" o:spt="75" type="#_x0000_t75" style="height:18pt;width:42.95pt;" o:ole="t" filled="f" o:preferrelative="t" stroked="f" coordsize="21600,21600">
                  <v:path/>
                  <v:fill on="f" focussize="0,0"/>
                  <v:stroke on="f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KSEE3" ShapeID="_x0000_i1040" DrawAspect="Content" ObjectID="_1468075740" r:id="rId27">
                  <o:LockedField>false</o:LockedField>
                </o:OLEObject>
              </w:object>
            </w:r>
          </w:p>
        </w:tc>
        <w:tc>
          <w:tcPr>
            <w:tcW w:w="762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37"/>
              <w:adjustRightInd w:val="0"/>
              <w:snapToGrid w:val="0"/>
              <w:spacing w:after="0" w:line="240" w:lineRule="auto"/>
              <w:rPr>
                <w:szCs w:val="22"/>
              </w:rPr>
            </w:pPr>
            <w:r>
              <w:rPr>
                <w:szCs w:val="22"/>
              </w:rPr>
              <w:t>QPSK</w:t>
            </w:r>
          </w:p>
        </w:tc>
      </w:tr>
    </w:tbl>
    <w:p>
      <w:pPr>
        <w:pStyle w:val="31"/>
        <w:ind w:firstLine="0" w:firstLineChars="0"/>
        <w:rPr>
          <w:bCs/>
          <w:szCs w:val="20"/>
        </w:rPr>
      </w:pPr>
      <w:r>
        <w:rPr>
          <w:bCs/>
          <w:szCs w:val="20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11"/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>R4-2210643</w:t>
      </w:r>
    </w:p>
    <w:p>
      <w:pPr>
        <w:pStyle w:val="11"/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>Chairman's Notes RAN1 95 final</w:t>
      </w:r>
    </w:p>
    <w:p>
      <w:pPr>
        <w:pStyle w:val="11"/>
        <w:rPr>
          <w:sz w:val="20"/>
          <w:szCs w:val="20"/>
          <w:lang w:val="en-US"/>
        </w:rPr>
      </w:pPr>
      <w:r>
        <w:rPr>
          <w:rFonts w:hint="eastAsia"/>
          <w:sz w:val="20"/>
          <w:szCs w:val="20"/>
          <w:lang w:val="en-US"/>
        </w:rPr>
        <w:t>Chairman's Notes RAN1#104-e final</w:t>
      </w:r>
    </w:p>
    <w:p>
      <w:pPr>
        <w:pStyle w:val="11"/>
        <w:numPr>
          <w:ilvl w:val="0"/>
          <w:numId w:val="0"/>
        </w:numPr>
        <w:rPr>
          <w:sz w:val="20"/>
          <w:szCs w:val="20"/>
          <w:lang w:val="en-US"/>
        </w:rPr>
      </w:pPr>
    </w:p>
    <w:p>
      <w:pPr>
        <w:pStyle w:val="11"/>
        <w:numPr>
          <w:ilvl w:val="0"/>
          <w:numId w:val="0"/>
        </w:numPr>
        <w:rPr>
          <w:sz w:val="20"/>
          <w:szCs w:val="20"/>
          <w:lang w:val="en-US"/>
        </w:rPr>
      </w:pPr>
    </w:p>
    <w:p>
      <w:pPr>
        <w:pStyle w:val="11"/>
        <w:numPr>
          <w:ilvl w:val="0"/>
          <w:numId w:val="0"/>
        </w:numPr>
        <w:rPr>
          <w:sz w:val="20"/>
          <w:szCs w:val="20"/>
          <w:lang w:val="en-US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Times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4</w:t>
    </w:r>
    <w:r>
      <w:rPr>
        <w:lang w:eastAsia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F1A52"/>
    <w:multiLevelType w:val="multilevel"/>
    <w:tmpl w:val="163F1A5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7AD6BDE"/>
    <w:multiLevelType w:val="multilevel"/>
    <w:tmpl w:val="17AD6BDE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4D686450"/>
    <w:multiLevelType w:val="multilevel"/>
    <w:tmpl w:val="4D68645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D6E3167"/>
    <w:multiLevelType w:val="multilevel"/>
    <w:tmpl w:val="4D6E3167"/>
    <w:lvl w:ilvl="0" w:tentative="0">
      <w:start w:val="1"/>
      <w:numFmt w:val="decimal"/>
      <w:pStyle w:val="4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B5B4F67"/>
    <w:multiLevelType w:val="multilevel"/>
    <w:tmpl w:val="6B5B4F67"/>
    <w:lvl w:ilvl="0" w:tentative="0">
      <w:start w:val="1"/>
      <w:numFmt w:val="decimal"/>
      <w:pStyle w:val="11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23C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65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473E0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AE4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5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053D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2854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0092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069"/>
    <w:rsid w:val="00F478C4"/>
    <w:rsid w:val="00F5076A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9DE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B6FF3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164BFB"/>
    <w:rsid w:val="014765FB"/>
    <w:rsid w:val="0153531E"/>
    <w:rsid w:val="01624027"/>
    <w:rsid w:val="01854830"/>
    <w:rsid w:val="018B3BAA"/>
    <w:rsid w:val="01957959"/>
    <w:rsid w:val="01BA0053"/>
    <w:rsid w:val="01DC1C82"/>
    <w:rsid w:val="02065A2E"/>
    <w:rsid w:val="020928F5"/>
    <w:rsid w:val="02281CFD"/>
    <w:rsid w:val="0228598B"/>
    <w:rsid w:val="02626E3D"/>
    <w:rsid w:val="02770E1A"/>
    <w:rsid w:val="0298367A"/>
    <w:rsid w:val="02D254EC"/>
    <w:rsid w:val="02F72239"/>
    <w:rsid w:val="02FE5F82"/>
    <w:rsid w:val="032D5AEE"/>
    <w:rsid w:val="03A05508"/>
    <w:rsid w:val="03AB67DC"/>
    <w:rsid w:val="03C77456"/>
    <w:rsid w:val="043D2559"/>
    <w:rsid w:val="0478015E"/>
    <w:rsid w:val="0518780B"/>
    <w:rsid w:val="0526729B"/>
    <w:rsid w:val="05510DD1"/>
    <w:rsid w:val="062A620F"/>
    <w:rsid w:val="064B00B0"/>
    <w:rsid w:val="06654A0B"/>
    <w:rsid w:val="06823D8F"/>
    <w:rsid w:val="07622262"/>
    <w:rsid w:val="079B3720"/>
    <w:rsid w:val="07CD3CDD"/>
    <w:rsid w:val="08C13553"/>
    <w:rsid w:val="09294F7D"/>
    <w:rsid w:val="09674661"/>
    <w:rsid w:val="097E672F"/>
    <w:rsid w:val="09825F02"/>
    <w:rsid w:val="09AB6C45"/>
    <w:rsid w:val="09E20449"/>
    <w:rsid w:val="0A2802DC"/>
    <w:rsid w:val="0A4B6F30"/>
    <w:rsid w:val="0A731B50"/>
    <w:rsid w:val="0B802D0D"/>
    <w:rsid w:val="0BC176FB"/>
    <w:rsid w:val="0BF41031"/>
    <w:rsid w:val="0C1547F0"/>
    <w:rsid w:val="0C1D57F9"/>
    <w:rsid w:val="0C953742"/>
    <w:rsid w:val="0CA242EA"/>
    <w:rsid w:val="0D531A10"/>
    <w:rsid w:val="0D613BA3"/>
    <w:rsid w:val="0D744565"/>
    <w:rsid w:val="0D7F564D"/>
    <w:rsid w:val="0D835665"/>
    <w:rsid w:val="0D98129F"/>
    <w:rsid w:val="0DE052FE"/>
    <w:rsid w:val="0DFF2B1F"/>
    <w:rsid w:val="0E3330D0"/>
    <w:rsid w:val="0E5576D4"/>
    <w:rsid w:val="0ECE66B5"/>
    <w:rsid w:val="0F11785B"/>
    <w:rsid w:val="0F21557B"/>
    <w:rsid w:val="0F372967"/>
    <w:rsid w:val="0F5107D2"/>
    <w:rsid w:val="0FB2124E"/>
    <w:rsid w:val="0FDA7DDA"/>
    <w:rsid w:val="0FFA1150"/>
    <w:rsid w:val="112D72C6"/>
    <w:rsid w:val="113F3856"/>
    <w:rsid w:val="11A50508"/>
    <w:rsid w:val="120639A8"/>
    <w:rsid w:val="123E18AA"/>
    <w:rsid w:val="12447798"/>
    <w:rsid w:val="125D4125"/>
    <w:rsid w:val="126149CF"/>
    <w:rsid w:val="12AE4121"/>
    <w:rsid w:val="13583391"/>
    <w:rsid w:val="137F4008"/>
    <w:rsid w:val="13975823"/>
    <w:rsid w:val="13AE6B05"/>
    <w:rsid w:val="13F672DD"/>
    <w:rsid w:val="13FA0803"/>
    <w:rsid w:val="140A2CA4"/>
    <w:rsid w:val="140C5848"/>
    <w:rsid w:val="141B497D"/>
    <w:rsid w:val="144E5CD4"/>
    <w:rsid w:val="14BF7340"/>
    <w:rsid w:val="14D87DF4"/>
    <w:rsid w:val="15220493"/>
    <w:rsid w:val="158F210D"/>
    <w:rsid w:val="15E12A88"/>
    <w:rsid w:val="15E95672"/>
    <w:rsid w:val="16054980"/>
    <w:rsid w:val="16271D63"/>
    <w:rsid w:val="165B2ECB"/>
    <w:rsid w:val="1660208F"/>
    <w:rsid w:val="167A7800"/>
    <w:rsid w:val="16BD2FB9"/>
    <w:rsid w:val="16C05D40"/>
    <w:rsid w:val="16E7731D"/>
    <w:rsid w:val="1707671B"/>
    <w:rsid w:val="179855D1"/>
    <w:rsid w:val="179F1E7A"/>
    <w:rsid w:val="17A613DC"/>
    <w:rsid w:val="188A0D46"/>
    <w:rsid w:val="18EF4764"/>
    <w:rsid w:val="19607D81"/>
    <w:rsid w:val="199503FD"/>
    <w:rsid w:val="19AF5CF6"/>
    <w:rsid w:val="19F256A0"/>
    <w:rsid w:val="1A0A0564"/>
    <w:rsid w:val="1A3F5603"/>
    <w:rsid w:val="1AA54D0B"/>
    <w:rsid w:val="1B3C4343"/>
    <w:rsid w:val="1B870B5B"/>
    <w:rsid w:val="1B8D4200"/>
    <w:rsid w:val="1BBC09F6"/>
    <w:rsid w:val="1C3571F6"/>
    <w:rsid w:val="1C3672FA"/>
    <w:rsid w:val="1C3A751E"/>
    <w:rsid w:val="1C3E4F98"/>
    <w:rsid w:val="1C5D00DA"/>
    <w:rsid w:val="1C7D0C1A"/>
    <w:rsid w:val="1C7E2DD6"/>
    <w:rsid w:val="1C8247E1"/>
    <w:rsid w:val="1CAD4CCB"/>
    <w:rsid w:val="1CCC40C9"/>
    <w:rsid w:val="1D186F9D"/>
    <w:rsid w:val="1D3130FA"/>
    <w:rsid w:val="1D504421"/>
    <w:rsid w:val="1D57112E"/>
    <w:rsid w:val="1D7B25BB"/>
    <w:rsid w:val="1DA251E1"/>
    <w:rsid w:val="1DA93704"/>
    <w:rsid w:val="1DF87CE3"/>
    <w:rsid w:val="1E343C5D"/>
    <w:rsid w:val="1E79733B"/>
    <w:rsid w:val="1ECF1323"/>
    <w:rsid w:val="1F295D72"/>
    <w:rsid w:val="1F4325C8"/>
    <w:rsid w:val="1F595BBB"/>
    <w:rsid w:val="1F7C7957"/>
    <w:rsid w:val="1FD21E35"/>
    <w:rsid w:val="1FD96681"/>
    <w:rsid w:val="1FE10390"/>
    <w:rsid w:val="1FEE7A9C"/>
    <w:rsid w:val="200E58BD"/>
    <w:rsid w:val="205164A7"/>
    <w:rsid w:val="20667B97"/>
    <w:rsid w:val="20795FD6"/>
    <w:rsid w:val="2090238B"/>
    <w:rsid w:val="20A434B3"/>
    <w:rsid w:val="20BA4AFB"/>
    <w:rsid w:val="20BA6502"/>
    <w:rsid w:val="20EE04E5"/>
    <w:rsid w:val="211A5459"/>
    <w:rsid w:val="216D7544"/>
    <w:rsid w:val="21B80AA5"/>
    <w:rsid w:val="221703FC"/>
    <w:rsid w:val="225216B5"/>
    <w:rsid w:val="22B37446"/>
    <w:rsid w:val="22CB0F22"/>
    <w:rsid w:val="235408E6"/>
    <w:rsid w:val="23FD5BE3"/>
    <w:rsid w:val="24386853"/>
    <w:rsid w:val="24715F69"/>
    <w:rsid w:val="24B140D4"/>
    <w:rsid w:val="24C569C9"/>
    <w:rsid w:val="24F907DC"/>
    <w:rsid w:val="250D35C2"/>
    <w:rsid w:val="252A03F9"/>
    <w:rsid w:val="25736853"/>
    <w:rsid w:val="25EF43C8"/>
    <w:rsid w:val="262E08BF"/>
    <w:rsid w:val="263951B2"/>
    <w:rsid w:val="263E55AD"/>
    <w:rsid w:val="264B37D3"/>
    <w:rsid w:val="27930B1B"/>
    <w:rsid w:val="27EF2EB7"/>
    <w:rsid w:val="28140998"/>
    <w:rsid w:val="281C290B"/>
    <w:rsid w:val="283146AB"/>
    <w:rsid w:val="288C6204"/>
    <w:rsid w:val="28A96A0F"/>
    <w:rsid w:val="28DD5033"/>
    <w:rsid w:val="28EE7A07"/>
    <w:rsid w:val="291F3AAD"/>
    <w:rsid w:val="29613A0F"/>
    <w:rsid w:val="29CD4516"/>
    <w:rsid w:val="2A1E2DE0"/>
    <w:rsid w:val="2A7049D1"/>
    <w:rsid w:val="2AB04251"/>
    <w:rsid w:val="2ABE7215"/>
    <w:rsid w:val="2AE558B3"/>
    <w:rsid w:val="2AE8229B"/>
    <w:rsid w:val="2AEC42E5"/>
    <w:rsid w:val="2B034D47"/>
    <w:rsid w:val="2B641C02"/>
    <w:rsid w:val="2B6F681F"/>
    <w:rsid w:val="2B8302EB"/>
    <w:rsid w:val="2B893BA3"/>
    <w:rsid w:val="2BC82480"/>
    <w:rsid w:val="2BEB375B"/>
    <w:rsid w:val="2C07332F"/>
    <w:rsid w:val="2C1A5D63"/>
    <w:rsid w:val="2C2907BF"/>
    <w:rsid w:val="2C80477B"/>
    <w:rsid w:val="2CA73FE3"/>
    <w:rsid w:val="2CD46AFB"/>
    <w:rsid w:val="2CE15438"/>
    <w:rsid w:val="2D812190"/>
    <w:rsid w:val="2DA94150"/>
    <w:rsid w:val="2E1176AC"/>
    <w:rsid w:val="2E20617B"/>
    <w:rsid w:val="2ECB7AE0"/>
    <w:rsid w:val="2F0E5D72"/>
    <w:rsid w:val="2F235269"/>
    <w:rsid w:val="2F322289"/>
    <w:rsid w:val="2F4B1C2D"/>
    <w:rsid w:val="2F691CE7"/>
    <w:rsid w:val="2FC15AF9"/>
    <w:rsid w:val="2FD74EE3"/>
    <w:rsid w:val="2FDC4E75"/>
    <w:rsid w:val="302F30EA"/>
    <w:rsid w:val="30571C73"/>
    <w:rsid w:val="306A1C37"/>
    <w:rsid w:val="30943D7F"/>
    <w:rsid w:val="309460D4"/>
    <w:rsid w:val="309C7501"/>
    <w:rsid w:val="30A1520F"/>
    <w:rsid w:val="30A375B7"/>
    <w:rsid w:val="30A819D5"/>
    <w:rsid w:val="30B80D4F"/>
    <w:rsid w:val="310D7287"/>
    <w:rsid w:val="313A0372"/>
    <w:rsid w:val="316C26E3"/>
    <w:rsid w:val="31B6217A"/>
    <w:rsid w:val="31DA6003"/>
    <w:rsid w:val="32305666"/>
    <w:rsid w:val="328D4D87"/>
    <w:rsid w:val="32921F50"/>
    <w:rsid w:val="32987EA1"/>
    <w:rsid w:val="32EC2013"/>
    <w:rsid w:val="33021368"/>
    <w:rsid w:val="33133DBA"/>
    <w:rsid w:val="33491F36"/>
    <w:rsid w:val="33883009"/>
    <w:rsid w:val="33CC2F57"/>
    <w:rsid w:val="346C2BDC"/>
    <w:rsid w:val="346F2645"/>
    <w:rsid w:val="34E63221"/>
    <w:rsid w:val="34EA3595"/>
    <w:rsid w:val="34F31159"/>
    <w:rsid w:val="34F61BA3"/>
    <w:rsid w:val="35684E72"/>
    <w:rsid w:val="35D34EB8"/>
    <w:rsid w:val="35DD38C0"/>
    <w:rsid w:val="35F26505"/>
    <w:rsid w:val="3606723C"/>
    <w:rsid w:val="361A0DD1"/>
    <w:rsid w:val="36377E86"/>
    <w:rsid w:val="363A75C1"/>
    <w:rsid w:val="368E7AA5"/>
    <w:rsid w:val="36950F43"/>
    <w:rsid w:val="36F13745"/>
    <w:rsid w:val="37235D83"/>
    <w:rsid w:val="37625127"/>
    <w:rsid w:val="37A42BA6"/>
    <w:rsid w:val="386C1CFB"/>
    <w:rsid w:val="388C38C8"/>
    <w:rsid w:val="388E6306"/>
    <w:rsid w:val="3891144C"/>
    <w:rsid w:val="38C927B2"/>
    <w:rsid w:val="38CA0360"/>
    <w:rsid w:val="38E40513"/>
    <w:rsid w:val="393853EE"/>
    <w:rsid w:val="39474FFC"/>
    <w:rsid w:val="399616B0"/>
    <w:rsid w:val="39A12E64"/>
    <w:rsid w:val="39E030FB"/>
    <w:rsid w:val="39E551C2"/>
    <w:rsid w:val="39E60E3D"/>
    <w:rsid w:val="3A280D85"/>
    <w:rsid w:val="3A985F9F"/>
    <w:rsid w:val="3ABE7AAF"/>
    <w:rsid w:val="3ACA79CB"/>
    <w:rsid w:val="3ACD696C"/>
    <w:rsid w:val="3B1D04C9"/>
    <w:rsid w:val="3B2A3220"/>
    <w:rsid w:val="3B564493"/>
    <w:rsid w:val="3B68666D"/>
    <w:rsid w:val="3B764749"/>
    <w:rsid w:val="3B924465"/>
    <w:rsid w:val="3BA94452"/>
    <w:rsid w:val="3C031B6A"/>
    <w:rsid w:val="3C8B2EA4"/>
    <w:rsid w:val="3C986ABB"/>
    <w:rsid w:val="3CA02F85"/>
    <w:rsid w:val="3CAE115E"/>
    <w:rsid w:val="3CB6404C"/>
    <w:rsid w:val="3CC85F33"/>
    <w:rsid w:val="3D5A19A0"/>
    <w:rsid w:val="3D6F2596"/>
    <w:rsid w:val="3DC16634"/>
    <w:rsid w:val="3DF57F19"/>
    <w:rsid w:val="3DF805E3"/>
    <w:rsid w:val="3E1A5B77"/>
    <w:rsid w:val="3E3D115C"/>
    <w:rsid w:val="3E816ACA"/>
    <w:rsid w:val="3EBA3F51"/>
    <w:rsid w:val="3ED90D52"/>
    <w:rsid w:val="3EFB0DA2"/>
    <w:rsid w:val="3F4371E9"/>
    <w:rsid w:val="3F5B25E2"/>
    <w:rsid w:val="3FBE5D52"/>
    <w:rsid w:val="3FEB354A"/>
    <w:rsid w:val="40077139"/>
    <w:rsid w:val="40273EB3"/>
    <w:rsid w:val="403917EB"/>
    <w:rsid w:val="404F7A6B"/>
    <w:rsid w:val="40556C00"/>
    <w:rsid w:val="40705D5D"/>
    <w:rsid w:val="40C765F3"/>
    <w:rsid w:val="40E6301D"/>
    <w:rsid w:val="41071BAC"/>
    <w:rsid w:val="41256FB7"/>
    <w:rsid w:val="41503A0E"/>
    <w:rsid w:val="4154071D"/>
    <w:rsid w:val="42A77C12"/>
    <w:rsid w:val="42AE14DC"/>
    <w:rsid w:val="42C843A0"/>
    <w:rsid w:val="42F20CDD"/>
    <w:rsid w:val="434941B7"/>
    <w:rsid w:val="43776349"/>
    <w:rsid w:val="43A46A86"/>
    <w:rsid w:val="43EE5166"/>
    <w:rsid w:val="43F43E58"/>
    <w:rsid w:val="43F57DBA"/>
    <w:rsid w:val="44AC3C12"/>
    <w:rsid w:val="44B2766E"/>
    <w:rsid w:val="44C82F04"/>
    <w:rsid w:val="44D34EA9"/>
    <w:rsid w:val="44D97640"/>
    <w:rsid w:val="450C2DE7"/>
    <w:rsid w:val="453D01E5"/>
    <w:rsid w:val="45834801"/>
    <w:rsid w:val="458F4D24"/>
    <w:rsid w:val="459C5BD8"/>
    <w:rsid w:val="45A36544"/>
    <w:rsid w:val="45B01F58"/>
    <w:rsid w:val="45E86B72"/>
    <w:rsid w:val="45ED56E7"/>
    <w:rsid w:val="45F60A50"/>
    <w:rsid w:val="462C12A2"/>
    <w:rsid w:val="465B1E86"/>
    <w:rsid w:val="46C6208F"/>
    <w:rsid w:val="473010D7"/>
    <w:rsid w:val="482C6CD1"/>
    <w:rsid w:val="4853345A"/>
    <w:rsid w:val="486B777A"/>
    <w:rsid w:val="48845C84"/>
    <w:rsid w:val="489C44D3"/>
    <w:rsid w:val="48AD2549"/>
    <w:rsid w:val="48DD7033"/>
    <w:rsid w:val="48F82FC3"/>
    <w:rsid w:val="490D3059"/>
    <w:rsid w:val="49500FEB"/>
    <w:rsid w:val="4982678C"/>
    <w:rsid w:val="49F32E1B"/>
    <w:rsid w:val="49FF1C1E"/>
    <w:rsid w:val="4A0B7057"/>
    <w:rsid w:val="4A280667"/>
    <w:rsid w:val="4A495F41"/>
    <w:rsid w:val="4A511B6E"/>
    <w:rsid w:val="4A7C4548"/>
    <w:rsid w:val="4B5B5B93"/>
    <w:rsid w:val="4B901389"/>
    <w:rsid w:val="4BFE2AE1"/>
    <w:rsid w:val="4C2C30BE"/>
    <w:rsid w:val="4C3A2A9D"/>
    <w:rsid w:val="4C5D2EB7"/>
    <w:rsid w:val="4C8B5DCD"/>
    <w:rsid w:val="4C8D7B0E"/>
    <w:rsid w:val="4CBF03D6"/>
    <w:rsid w:val="4D014AEF"/>
    <w:rsid w:val="4D105B68"/>
    <w:rsid w:val="4D1E3273"/>
    <w:rsid w:val="4D351F8F"/>
    <w:rsid w:val="4D513299"/>
    <w:rsid w:val="4D9D5F78"/>
    <w:rsid w:val="4DA22392"/>
    <w:rsid w:val="4DBE5704"/>
    <w:rsid w:val="4DF96CBC"/>
    <w:rsid w:val="4E4C233E"/>
    <w:rsid w:val="4E6467C3"/>
    <w:rsid w:val="4E9A7FF9"/>
    <w:rsid w:val="4EBB6F09"/>
    <w:rsid w:val="4EDA7726"/>
    <w:rsid w:val="4EDF702E"/>
    <w:rsid w:val="4EF148C1"/>
    <w:rsid w:val="4F047884"/>
    <w:rsid w:val="4F186AC1"/>
    <w:rsid w:val="4F4C5AD3"/>
    <w:rsid w:val="4F813AF7"/>
    <w:rsid w:val="4FBD6EC5"/>
    <w:rsid w:val="4FBF1AB2"/>
    <w:rsid w:val="4FD507D5"/>
    <w:rsid w:val="4FEC60B3"/>
    <w:rsid w:val="50150A2D"/>
    <w:rsid w:val="504E5AC6"/>
    <w:rsid w:val="505076EF"/>
    <w:rsid w:val="505F3BD5"/>
    <w:rsid w:val="507820B7"/>
    <w:rsid w:val="508A0B34"/>
    <w:rsid w:val="509A0302"/>
    <w:rsid w:val="50E042AF"/>
    <w:rsid w:val="513C5648"/>
    <w:rsid w:val="51736098"/>
    <w:rsid w:val="51B14BED"/>
    <w:rsid w:val="51EE252C"/>
    <w:rsid w:val="51FA3D86"/>
    <w:rsid w:val="52022698"/>
    <w:rsid w:val="52064582"/>
    <w:rsid w:val="526965AA"/>
    <w:rsid w:val="529D7E97"/>
    <w:rsid w:val="531E2281"/>
    <w:rsid w:val="53A8751F"/>
    <w:rsid w:val="53BB3529"/>
    <w:rsid w:val="54175BE1"/>
    <w:rsid w:val="5445166E"/>
    <w:rsid w:val="54632332"/>
    <w:rsid w:val="547236DF"/>
    <w:rsid w:val="54944CE7"/>
    <w:rsid w:val="54E95C39"/>
    <w:rsid w:val="54EC1A86"/>
    <w:rsid w:val="55051E0B"/>
    <w:rsid w:val="55436523"/>
    <w:rsid w:val="558851EE"/>
    <w:rsid w:val="55CA20E9"/>
    <w:rsid w:val="55ED23C7"/>
    <w:rsid w:val="560C0036"/>
    <w:rsid w:val="563C5184"/>
    <w:rsid w:val="565631F5"/>
    <w:rsid w:val="56600B2F"/>
    <w:rsid w:val="56C44CD3"/>
    <w:rsid w:val="581B09AF"/>
    <w:rsid w:val="582E227B"/>
    <w:rsid w:val="583C79A9"/>
    <w:rsid w:val="58983966"/>
    <w:rsid w:val="589E3B99"/>
    <w:rsid w:val="589F3533"/>
    <w:rsid w:val="58FF6291"/>
    <w:rsid w:val="593261D2"/>
    <w:rsid w:val="59423730"/>
    <w:rsid w:val="595A6E9E"/>
    <w:rsid w:val="596B127A"/>
    <w:rsid w:val="5A8F1C82"/>
    <w:rsid w:val="5AA04D8D"/>
    <w:rsid w:val="5AB970B9"/>
    <w:rsid w:val="5AFF5DE6"/>
    <w:rsid w:val="5B4026E8"/>
    <w:rsid w:val="5B482E24"/>
    <w:rsid w:val="5BB16B1B"/>
    <w:rsid w:val="5C0025C0"/>
    <w:rsid w:val="5C9A4DB7"/>
    <w:rsid w:val="5D1A39EE"/>
    <w:rsid w:val="5D5C7688"/>
    <w:rsid w:val="5D615C0F"/>
    <w:rsid w:val="5D820D6E"/>
    <w:rsid w:val="5D844DB8"/>
    <w:rsid w:val="5DEF6B62"/>
    <w:rsid w:val="5DF60378"/>
    <w:rsid w:val="5E224225"/>
    <w:rsid w:val="5E2732CD"/>
    <w:rsid w:val="5E336F39"/>
    <w:rsid w:val="5E7954A7"/>
    <w:rsid w:val="5E7E4092"/>
    <w:rsid w:val="5F5F081B"/>
    <w:rsid w:val="5FF20BF7"/>
    <w:rsid w:val="60205F90"/>
    <w:rsid w:val="608E2F6C"/>
    <w:rsid w:val="60DC0E4E"/>
    <w:rsid w:val="60EC3C37"/>
    <w:rsid w:val="617A5318"/>
    <w:rsid w:val="61A058F7"/>
    <w:rsid w:val="62082A4E"/>
    <w:rsid w:val="623C28E2"/>
    <w:rsid w:val="62CA193B"/>
    <w:rsid w:val="62D53BF4"/>
    <w:rsid w:val="631E0963"/>
    <w:rsid w:val="63483DC6"/>
    <w:rsid w:val="63610183"/>
    <w:rsid w:val="637947A5"/>
    <w:rsid w:val="63D0005D"/>
    <w:rsid w:val="64A86354"/>
    <w:rsid w:val="64B7605C"/>
    <w:rsid w:val="652564C3"/>
    <w:rsid w:val="652B096E"/>
    <w:rsid w:val="65530E49"/>
    <w:rsid w:val="658B678B"/>
    <w:rsid w:val="65E73B66"/>
    <w:rsid w:val="66131984"/>
    <w:rsid w:val="66187135"/>
    <w:rsid w:val="666D159D"/>
    <w:rsid w:val="66E16576"/>
    <w:rsid w:val="66E33C2D"/>
    <w:rsid w:val="67427945"/>
    <w:rsid w:val="678164D2"/>
    <w:rsid w:val="67D079BF"/>
    <w:rsid w:val="67E04310"/>
    <w:rsid w:val="68121D83"/>
    <w:rsid w:val="68233C28"/>
    <w:rsid w:val="68962A04"/>
    <w:rsid w:val="6906197A"/>
    <w:rsid w:val="690C637F"/>
    <w:rsid w:val="69272D18"/>
    <w:rsid w:val="692A17F3"/>
    <w:rsid w:val="69323EDF"/>
    <w:rsid w:val="69C27972"/>
    <w:rsid w:val="6A2E4954"/>
    <w:rsid w:val="6A6E396D"/>
    <w:rsid w:val="6AC9421D"/>
    <w:rsid w:val="6AD94F47"/>
    <w:rsid w:val="6B7539EB"/>
    <w:rsid w:val="6BAE3555"/>
    <w:rsid w:val="6BC12AEF"/>
    <w:rsid w:val="6C4C2667"/>
    <w:rsid w:val="6CD40BE1"/>
    <w:rsid w:val="6CDA49A3"/>
    <w:rsid w:val="6CEB79CD"/>
    <w:rsid w:val="6CF36133"/>
    <w:rsid w:val="6D27071C"/>
    <w:rsid w:val="6D2C0194"/>
    <w:rsid w:val="6D704B0C"/>
    <w:rsid w:val="6DA57D2D"/>
    <w:rsid w:val="6DD1076A"/>
    <w:rsid w:val="6DDE3DAF"/>
    <w:rsid w:val="6E1735DC"/>
    <w:rsid w:val="6E1F4ECD"/>
    <w:rsid w:val="6E2211D6"/>
    <w:rsid w:val="6EBD64D7"/>
    <w:rsid w:val="6F7A0A72"/>
    <w:rsid w:val="6FBA4BA1"/>
    <w:rsid w:val="70E13200"/>
    <w:rsid w:val="714420CD"/>
    <w:rsid w:val="715F4C2D"/>
    <w:rsid w:val="71742846"/>
    <w:rsid w:val="72024D75"/>
    <w:rsid w:val="724530CF"/>
    <w:rsid w:val="72CB7F46"/>
    <w:rsid w:val="73121CB7"/>
    <w:rsid w:val="73134E8E"/>
    <w:rsid w:val="745A4881"/>
    <w:rsid w:val="745C121D"/>
    <w:rsid w:val="755C4C37"/>
    <w:rsid w:val="761A2E8D"/>
    <w:rsid w:val="768D7CD7"/>
    <w:rsid w:val="76A17FB6"/>
    <w:rsid w:val="7741565A"/>
    <w:rsid w:val="774D1291"/>
    <w:rsid w:val="776C25E5"/>
    <w:rsid w:val="776C3E9D"/>
    <w:rsid w:val="77B7237F"/>
    <w:rsid w:val="77FD2C5E"/>
    <w:rsid w:val="78271104"/>
    <w:rsid w:val="784B7472"/>
    <w:rsid w:val="78861A8D"/>
    <w:rsid w:val="789F4DF5"/>
    <w:rsid w:val="78ED42D2"/>
    <w:rsid w:val="78F82ED4"/>
    <w:rsid w:val="7925703F"/>
    <w:rsid w:val="79597330"/>
    <w:rsid w:val="7962750F"/>
    <w:rsid w:val="796B0021"/>
    <w:rsid w:val="79701A60"/>
    <w:rsid w:val="797218E2"/>
    <w:rsid w:val="79DE3112"/>
    <w:rsid w:val="79F228E3"/>
    <w:rsid w:val="7A4205D3"/>
    <w:rsid w:val="7AB05BBC"/>
    <w:rsid w:val="7AB44E97"/>
    <w:rsid w:val="7AB94AC3"/>
    <w:rsid w:val="7AE36910"/>
    <w:rsid w:val="7B940404"/>
    <w:rsid w:val="7BD4323F"/>
    <w:rsid w:val="7BF8597E"/>
    <w:rsid w:val="7C12395E"/>
    <w:rsid w:val="7C14711B"/>
    <w:rsid w:val="7C312516"/>
    <w:rsid w:val="7C45431D"/>
    <w:rsid w:val="7C4A144B"/>
    <w:rsid w:val="7C5E2D26"/>
    <w:rsid w:val="7C6B6B6B"/>
    <w:rsid w:val="7C741066"/>
    <w:rsid w:val="7C963B24"/>
    <w:rsid w:val="7D4C1C46"/>
    <w:rsid w:val="7D850286"/>
    <w:rsid w:val="7DB44FBE"/>
    <w:rsid w:val="7DB6382F"/>
    <w:rsid w:val="7DC53D43"/>
    <w:rsid w:val="7DC64605"/>
    <w:rsid w:val="7DDD0501"/>
    <w:rsid w:val="7E2653BA"/>
    <w:rsid w:val="7E2B63E7"/>
    <w:rsid w:val="7E8B79FF"/>
    <w:rsid w:val="7E935AFB"/>
    <w:rsid w:val="7E9C3271"/>
    <w:rsid w:val="7EC53F88"/>
    <w:rsid w:val="7EC65AAB"/>
    <w:rsid w:val="7EE64951"/>
    <w:rsid w:val="7F414A4C"/>
    <w:rsid w:val="7F4610EC"/>
    <w:rsid w:val="7F50759A"/>
    <w:rsid w:val="7FA522BC"/>
    <w:rsid w:val="7FC90A85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5"/>
    <w:qFormat/>
    <w:uiPriority w:val="0"/>
    <w:pPr>
      <w:outlineLvl w:val="1"/>
    </w:pPr>
    <w:rPr>
      <w:iCs/>
      <w:szCs w:val="28"/>
    </w:rPr>
  </w:style>
  <w:style w:type="paragraph" w:styleId="4">
    <w:name w:val="heading 3"/>
    <w:basedOn w:val="3"/>
    <w:next w:val="1"/>
    <w:link w:val="52"/>
    <w:unhideWhenUsed/>
    <w:qFormat/>
    <w:uiPriority w:val="9"/>
    <w:pPr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8">
    <w:name w:val="Document Map"/>
    <w:basedOn w:val="1"/>
    <w:link w:val="3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annotation text"/>
    <w:basedOn w:val="1"/>
    <w:link w:val="55"/>
    <w:semiHidden/>
    <w:unhideWhenUsed/>
    <w:qFormat/>
    <w:uiPriority w:val="99"/>
    <w:pPr>
      <w:spacing w:line="240" w:lineRule="auto"/>
    </w:pPr>
    <w:rPr>
      <w:szCs w:val="20"/>
    </w:rPr>
  </w:style>
  <w:style w:type="paragraph" w:styleId="10">
    <w:name w:val="Body Text"/>
    <w:basedOn w:val="1"/>
    <w:link w:val="26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1">
    <w:name w:val="List 2"/>
    <w:basedOn w:val="12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Date"/>
    <w:basedOn w:val="1"/>
    <w:next w:val="1"/>
    <w:link w:val="49"/>
    <w:semiHidden/>
    <w:unhideWhenUsed/>
    <w:qFormat/>
    <w:uiPriority w:val="99"/>
    <w:pPr>
      <w:ind w:left="100" w:leftChars="2500"/>
    </w:pPr>
  </w:style>
  <w:style w:type="paragraph" w:styleId="14">
    <w:name w:val="Balloon Text"/>
    <w:basedOn w:val="1"/>
    <w:link w:val="30"/>
    <w:semiHidden/>
    <w:unhideWhenUsed/>
    <w:qFormat/>
    <w:uiPriority w:val="99"/>
    <w:rPr>
      <w:sz w:val="18"/>
      <w:szCs w:val="18"/>
      <w:lang w:val="zh-CN"/>
    </w:rPr>
  </w:style>
  <w:style w:type="paragraph" w:styleId="15">
    <w:name w:val="footer"/>
    <w:basedOn w:val="1"/>
    <w:link w:val="2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6">
    <w:name w:val="header"/>
    <w:basedOn w:val="1"/>
    <w:link w:val="27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7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8">
    <w:name w:val="annotation subject"/>
    <w:basedOn w:val="9"/>
    <w:next w:val="9"/>
    <w:link w:val="56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basedOn w:val="21"/>
    <w:semiHidden/>
    <w:unhideWhenUsed/>
    <w:qFormat/>
    <w:uiPriority w:val="99"/>
    <w:rPr>
      <w:sz w:val="16"/>
      <w:szCs w:val="16"/>
    </w:rPr>
  </w:style>
  <w:style w:type="character" w:customStyle="1" w:styleId="24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5">
    <w:name w:val="标题 2 Char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6">
    <w:name w:val="正文文本 Char"/>
    <w:link w:val="10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7">
    <w:name w:val="页眉 Char"/>
    <w:link w:val="16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8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9">
    <w:name w:val="页脚 Char"/>
    <w:link w:val="15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30">
    <w:name w:val="批注框文本 Char"/>
    <w:link w:val="14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31">
    <w:name w:val="List Paragraph"/>
    <w:basedOn w:val="1"/>
    <w:link w:val="47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2">
    <w:name w:val="文档结构图 Char"/>
    <w:link w:val="8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3">
    <w:name w:val="B1"/>
    <w:basedOn w:val="12"/>
    <w:link w:val="34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4">
    <w:name w:val="B1 (文字)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5">
    <w:name w:val="B1 Char1"/>
    <w:qFormat/>
    <w:uiPriority w:val="0"/>
    <w:rPr>
      <w:lang w:val="en-GB" w:eastAsia="en-US"/>
    </w:rPr>
  </w:style>
  <w:style w:type="paragraph" w:customStyle="1" w:styleId="36">
    <w:name w:val="TAH"/>
    <w:basedOn w:val="37"/>
    <w:link w:val="42"/>
    <w:qFormat/>
    <w:uiPriority w:val="0"/>
    <w:rPr>
      <w:b/>
    </w:rPr>
  </w:style>
  <w:style w:type="paragraph" w:customStyle="1" w:styleId="37">
    <w:name w:val="TAC"/>
    <w:basedOn w:val="38"/>
    <w:link w:val="41"/>
    <w:qFormat/>
    <w:uiPriority w:val="0"/>
    <w:pPr>
      <w:jc w:val="center"/>
    </w:pPr>
    <w:rPr>
      <w:lang w:eastAsia="zh-CN"/>
    </w:rPr>
  </w:style>
  <w:style w:type="paragraph" w:customStyle="1" w:styleId="38">
    <w:name w:val="TAL"/>
    <w:basedOn w:val="1"/>
    <w:link w:val="51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9">
    <w:name w:val="TH"/>
    <w:basedOn w:val="1"/>
    <w:link w:val="40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40">
    <w:name w:val="TH Char"/>
    <w:link w:val="39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41">
    <w:name w:val="TAC Char"/>
    <w:link w:val="37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2">
    <w:name w:val="TAH Car"/>
    <w:link w:val="36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4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5">
    <w:name w:val="RAN4 proposal"/>
    <w:basedOn w:val="7"/>
    <w:next w:val="1"/>
    <w:link w:val="46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6">
    <w:name w:val="RAN4 proposal Char"/>
    <w:link w:val="45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7">
    <w:name w:val="列出段落 Char"/>
    <w:link w:val="31"/>
    <w:qFormat/>
    <w:uiPriority w:val="34"/>
    <w:rPr>
      <w:kern w:val="2"/>
      <w:sz w:val="21"/>
      <w:szCs w:val="22"/>
    </w:rPr>
  </w:style>
  <w:style w:type="character" w:customStyle="1" w:styleId="48">
    <w:name w:val="ZGSM"/>
    <w:qFormat/>
    <w:uiPriority w:val="0"/>
  </w:style>
  <w:style w:type="character" w:customStyle="1" w:styleId="49">
    <w:name w:val="日期 Char"/>
    <w:link w:val="13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51">
    <w:name w:val="TAL Char"/>
    <w:link w:val="38"/>
    <w:qFormat/>
    <w:uiPriority w:val="0"/>
    <w:rPr>
      <w:rFonts w:ascii="Arial" w:hAnsi="Arial"/>
      <w:sz w:val="18"/>
      <w:lang w:val="en-GB" w:eastAsia="en-US"/>
    </w:rPr>
  </w:style>
  <w:style w:type="character" w:customStyle="1" w:styleId="52">
    <w:name w:val="标题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3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4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5">
    <w:name w:val="批注文字 Char"/>
    <w:basedOn w:val="21"/>
    <w:link w:val="9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6">
    <w:name w:val="批注主题 Char"/>
    <w:basedOn w:val="55"/>
    <w:link w:val="18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7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8">
    <w:name w:val="TAN"/>
    <w:basedOn w:val="38"/>
    <w:qFormat/>
    <w:uiPriority w:val="0"/>
    <w:pPr>
      <w:ind w:left="851" w:hanging="851"/>
    </w:pPr>
  </w:style>
  <w:style w:type="paragraph" w:customStyle="1" w:styleId="59">
    <w:name w:val="B2"/>
    <w:basedOn w:val="11"/>
    <w:qFormat/>
    <w:uiPriority w:val="0"/>
    <w:pPr>
      <w:ind w:left="851" w:hanging="284"/>
    </w:pPr>
    <w:rPr>
      <w:lang w:val="zh-CN"/>
    </w:rPr>
  </w:style>
  <w:style w:type="character" w:customStyle="1" w:styleId="6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61">
    <w:name w:val="normaltextrun"/>
    <w:basedOn w:val="2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1" Type="http://schemas.openxmlformats.org/officeDocument/2006/relationships/fontTable" Target="fontTable.xml"/><Relationship Id="rId30" Type="http://schemas.openxmlformats.org/officeDocument/2006/relationships/customXml" Target="../customXml/item2.xml"/><Relationship Id="rId3" Type="http://schemas.openxmlformats.org/officeDocument/2006/relationships/footer" Target="footer1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oleObject" Target="embeddings/oleObject16.bin"/><Relationship Id="rId26" Type="http://schemas.openxmlformats.org/officeDocument/2006/relationships/oleObject" Target="embeddings/oleObject15.bin"/><Relationship Id="rId25" Type="http://schemas.openxmlformats.org/officeDocument/2006/relationships/oleObject" Target="embeddings/oleObject14.bin"/><Relationship Id="rId24" Type="http://schemas.openxmlformats.org/officeDocument/2006/relationships/oleObject" Target="embeddings/oleObject13.bin"/><Relationship Id="rId23" Type="http://schemas.openxmlformats.org/officeDocument/2006/relationships/oleObject" Target="embeddings/oleObject12.bin"/><Relationship Id="rId22" Type="http://schemas.openxmlformats.org/officeDocument/2006/relationships/image" Target="media/image7.wmf"/><Relationship Id="rId21" Type="http://schemas.openxmlformats.org/officeDocument/2006/relationships/oleObject" Target="embeddings/oleObject11.bin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oleObject" Target="embeddings/oleObject8.bin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7</Pages>
  <Words>868</Words>
  <Characters>4952</Characters>
  <Lines>41</Lines>
  <Paragraphs>11</Paragraphs>
  <TotalTime>15</TotalTime>
  <ScaleCrop>false</ScaleCrop>
  <LinksUpToDate>false</LinksUpToDate>
  <CharactersWithSpaces>5809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Wenhao Liu</dc:creator>
  <cp:lastModifiedBy>ZTE(Liu Wenhao)</cp:lastModifiedBy>
  <cp:lastPrinted>2015-02-02T11:17:00Z</cp:lastPrinted>
  <dcterms:modified xsi:type="dcterms:W3CDTF">2022-08-10T09:09:24Z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